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440" w:type="dxa"/>
        <w:tblInd w:w="0" w:type="dxa"/>
        <w:shd w:val="clear"/>
        <w:tblLayout w:type="autofit"/>
        <w:tblCellMar>
          <w:top w:w="0" w:type="dxa"/>
          <w:left w:w="0" w:type="dxa"/>
          <w:bottom w:w="0" w:type="dxa"/>
          <w:right w:w="0" w:type="dxa"/>
        </w:tblCellMar>
      </w:tblPr>
      <w:tblGrid>
        <w:gridCol w:w="705"/>
        <w:gridCol w:w="4230"/>
        <w:gridCol w:w="1425"/>
        <w:gridCol w:w="1335"/>
        <w:gridCol w:w="5745"/>
      </w:tblGrid>
      <w:tr>
        <w:tblPrEx>
          <w:shd w:val="clear"/>
          <w:tblCellMar>
            <w:top w:w="0" w:type="dxa"/>
            <w:left w:w="0" w:type="dxa"/>
            <w:bottom w:w="0" w:type="dxa"/>
            <w:right w:w="0" w:type="dxa"/>
          </w:tblCellMar>
        </w:tblPrEx>
        <w:trPr>
          <w:trHeight w:val="800" w:hRule="atLeast"/>
        </w:trPr>
        <w:tc>
          <w:tcPr>
            <w:tcW w:w="13440"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2020年9月法律法规更新清单</w:t>
            </w:r>
          </w:p>
        </w:tc>
      </w:tr>
      <w:tr>
        <w:tblPrEx>
          <w:shd w:val="clear"/>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NO.</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颁布日期</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实施日期</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来源</w:t>
            </w:r>
          </w:p>
        </w:tc>
      </w:tr>
      <w:tr>
        <w:tblPrEx>
          <w:shd w:val="clear"/>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广东省生态环境厅关于做好建设项目竣工环境保护验收监管事项的公告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2020.09.17</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2020.09.17</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https://www.ehs.cn/law/113521.html</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广东省生态环境厅办公室关于加强海水养殖污染防治有关工作的通知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2020.09.15</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2020.09.15</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https://www.ehs.cn/law/113520.html</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市安委会办公室关于开展重点环保设施、涉爆粉尘企业安全风险摸排隐患整改工作的通知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2020.09.15</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2020.09.15</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https://www.ehs.cn/law/113523.html</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广东省应急管理厅关于开展特种作业操作证专项治理行动的通知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2020.09.14</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2020.09.14</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https://www.ehs.cn/law/113518.html</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南通市应急管理局关于推进南通市“重点行业领域”安全生产责任保险工作的通知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https://www.ehs.cn/law/113498.html</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应急管理部办公厅关于印发金属冶炼一线岗位安全生产指导手册的通知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https://www.ehs.cn/law/113506.html</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中山市应急管理局关于进一步推进工贸企业开展较大危险因素辨识管控提升防范事故能力行动的通知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2020.09.10</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2020.09.10</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https://www.ehs.cn/law/113480.html</w:t>
            </w:r>
          </w:p>
        </w:tc>
      </w:tr>
      <w:tr>
        <w:tblPrEx>
          <w:shd w:val="clear"/>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关于贯彻实施《江苏省生态环境行政处罚裁量基准规定》的通知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2020.09.08</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2020.09.08</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https://www.ehs.cn/law/113464.html</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423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省住房城乡建设厅关于推进建筑垃圾减量化的指导意见</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2020.09.07</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2020.09.07</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https://www.ehs.cn/law/113463.html</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佛山市生态环境局关于保留《佛山市环境保护局关于印发〈佛山市环境保护局企业环境信用评价办法〉的通知》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2020.09.04</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2020.09.04</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https://www.ehs.cn/law/113469.html</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广西壮族自治区安全生产委员会办公室关于印发《全区涉电公共安全隐患专项整治三年行动实施方案》的通知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https://www.ehs.cn/law/113392.html</w:t>
            </w:r>
          </w:p>
        </w:tc>
      </w:tr>
      <w:tr>
        <w:tblPrEx>
          <w:shd w:val="clear"/>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佛山市生态环境局关于废止规范性文件的通告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bdr w:val="none" w:color="auto" w:sz="0" w:space="0"/>
                <w:lang w:val="en-US" w:eastAsia="zh-CN" w:bidi="ar"/>
              </w:rPr>
              <w:fldChar w:fldCharType="begin"/>
            </w:r>
            <w:r>
              <w:rPr>
                <w:rFonts w:hint="eastAsia" w:ascii="宋体" w:hAnsi="宋体" w:eastAsia="宋体" w:cs="宋体"/>
                <w:i w:val="0"/>
                <w:kern w:val="0"/>
                <w:sz w:val="22"/>
                <w:szCs w:val="22"/>
                <w:u w:val="single"/>
                <w:bdr w:val="none" w:color="auto" w:sz="0" w:space="0"/>
                <w:lang w:val="en-US" w:eastAsia="zh-CN" w:bidi="ar"/>
              </w:rPr>
              <w:instrText xml:space="preserve"> HYPERLINK "https://www.ehs.cn/law/113470.html" </w:instrText>
            </w:r>
            <w:r>
              <w:rPr>
                <w:rFonts w:hint="eastAsia" w:ascii="宋体" w:hAnsi="宋体" w:eastAsia="宋体" w:cs="宋体"/>
                <w:i w:val="0"/>
                <w:kern w:val="0"/>
                <w:sz w:val="22"/>
                <w:szCs w:val="22"/>
                <w:u w:val="single"/>
                <w:bdr w:val="none" w:color="auto" w:sz="0" w:space="0"/>
                <w:lang w:val="en-US" w:eastAsia="zh-CN" w:bidi="ar"/>
              </w:rPr>
              <w:fldChar w:fldCharType="separate"/>
            </w:r>
            <w:r>
              <w:rPr>
                <w:rStyle w:val="4"/>
                <w:rFonts w:hint="eastAsia" w:ascii="宋体" w:hAnsi="宋体" w:eastAsia="宋体" w:cs="宋体"/>
                <w:i w:val="0"/>
                <w:sz w:val="22"/>
                <w:szCs w:val="22"/>
                <w:u w:val="single"/>
                <w:bdr w:val="none" w:color="auto" w:sz="0" w:space="0"/>
              </w:rPr>
              <w:t>https://www.ehs.cn/law/113470.html</w:t>
            </w:r>
            <w:r>
              <w:rPr>
                <w:rFonts w:hint="eastAsia" w:ascii="宋体" w:hAnsi="宋体" w:eastAsia="宋体" w:cs="宋体"/>
                <w:i w:val="0"/>
                <w:kern w:val="0"/>
                <w:sz w:val="22"/>
                <w:szCs w:val="22"/>
                <w:u w:val="single"/>
                <w:bdr w:val="none" w:color="auto" w:sz="0" w:space="0"/>
                <w:lang w:val="en-US" w:eastAsia="zh-CN" w:bidi="ar"/>
              </w:rPr>
              <w:fldChar w:fldCharType="end"/>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深圳市人民代表大会常务委员会关于修改《深圳经济特区环境噪声污染防治条例》的决定</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2020.09.02</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https://www.ehs.cn/law/113427.html</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深圳经济特区环境噪声污染防治条例（2020年修订）</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2020.09.02</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https://www.ehs.cn/law/113428.html</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深圳市人民代表大会常务委员会关于修改《深圳经济特区道路交通安全管理条例》的决定</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2020.09.02</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https://www.ehs.cn/law/113429.html</w:t>
            </w:r>
          </w:p>
        </w:tc>
      </w:tr>
      <w:tr>
        <w:tblPrEx>
          <w:shd w:val="clear"/>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关于调整完善土地出让收入使用范围优先支持乡村振兴的意见</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bdr w:val="none" w:color="auto" w:sz="0" w:space="0"/>
                <w:lang w:val="en-US" w:eastAsia="zh-CN" w:bidi="ar"/>
              </w:rPr>
              <w:fldChar w:fldCharType="begin"/>
            </w:r>
            <w:r>
              <w:rPr>
                <w:rFonts w:hint="eastAsia" w:ascii="宋体" w:hAnsi="宋体" w:eastAsia="宋体" w:cs="宋体"/>
                <w:i w:val="0"/>
                <w:kern w:val="0"/>
                <w:sz w:val="22"/>
                <w:szCs w:val="22"/>
                <w:u w:val="single"/>
                <w:bdr w:val="none" w:color="auto" w:sz="0" w:space="0"/>
                <w:lang w:val="en-US" w:eastAsia="zh-CN" w:bidi="ar"/>
              </w:rPr>
              <w:instrText xml:space="preserve"> HYPERLINK "http://www.law-lib.com/law/law_view.asp?id=699309" </w:instrText>
            </w:r>
            <w:r>
              <w:rPr>
                <w:rFonts w:hint="eastAsia" w:ascii="宋体" w:hAnsi="宋体" w:eastAsia="宋体" w:cs="宋体"/>
                <w:i w:val="0"/>
                <w:kern w:val="0"/>
                <w:sz w:val="22"/>
                <w:szCs w:val="22"/>
                <w:u w:val="single"/>
                <w:bdr w:val="none" w:color="auto" w:sz="0" w:space="0"/>
                <w:lang w:val="en-US" w:eastAsia="zh-CN" w:bidi="ar"/>
              </w:rPr>
              <w:fldChar w:fldCharType="separate"/>
            </w:r>
            <w:r>
              <w:rPr>
                <w:rStyle w:val="4"/>
                <w:rFonts w:hint="eastAsia" w:ascii="宋体" w:hAnsi="宋体" w:eastAsia="宋体" w:cs="宋体"/>
                <w:i w:val="0"/>
                <w:sz w:val="22"/>
                <w:szCs w:val="22"/>
                <w:u w:val="single"/>
                <w:bdr w:val="none" w:color="auto" w:sz="0" w:space="0"/>
              </w:rPr>
              <w:t>http://www.law-lib.com/law/law_view.asp?id=699309</w:t>
            </w:r>
            <w:r>
              <w:rPr>
                <w:rFonts w:hint="eastAsia" w:ascii="宋体" w:hAnsi="宋体" w:eastAsia="宋体" w:cs="宋体"/>
                <w:i w:val="0"/>
                <w:kern w:val="0"/>
                <w:sz w:val="22"/>
                <w:szCs w:val="22"/>
                <w:u w:val="single"/>
                <w:bdr w:val="none" w:color="auto" w:sz="0" w:space="0"/>
                <w:lang w:val="en-US" w:eastAsia="zh-CN" w:bidi="ar"/>
              </w:rPr>
              <w:fldChar w:fldCharType="end"/>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中华人民共和国外交部、国家移民管理局关于允许持三类有效居留许可外国人入境的公告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2020.09.23</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kern w:val="0"/>
                <w:sz w:val="22"/>
                <w:szCs w:val="22"/>
                <w:u w:val="single"/>
                <w:bdr w:val="none" w:color="auto" w:sz="0" w:space="0"/>
                <w:lang w:val="en-US" w:eastAsia="zh-CN" w:bidi="ar"/>
              </w:rPr>
              <w:fldChar w:fldCharType="begin"/>
            </w:r>
            <w:r>
              <w:rPr>
                <w:rFonts w:hint="eastAsia" w:ascii="宋体" w:hAnsi="宋体" w:eastAsia="宋体" w:cs="宋体"/>
                <w:i w:val="0"/>
                <w:kern w:val="0"/>
                <w:sz w:val="22"/>
                <w:szCs w:val="22"/>
                <w:u w:val="single"/>
                <w:bdr w:val="none" w:color="auto" w:sz="0" w:space="0"/>
                <w:lang w:val="en-US" w:eastAsia="zh-CN" w:bidi="ar"/>
              </w:rPr>
              <w:instrText xml:space="preserve"> HYPERLINK "http://www.law-lib.com/law/law_view.asp?id=699308" </w:instrText>
            </w:r>
            <w:r>
              <w:rPr>
                <w:rFonts w:hint="eastAsia" w:ascii="宋体" w:hAnsi="宋体" w:eastAsia="宋体" w:cs="宋体"/>
                <w:i w:val="0"/>
                <w:kern w:val="0"/>
                <w:sz w:val="22"/>
                <w:szCs w:val="22"/>
                <w:u w:val="single"/>
                <w:bdr w:val="none" w:color="auto" w:sz="0" w:space="0"/>
                <w:lang w:val="en-US" w:eastAsia="zh-CN" w:bidi="ar"/>
              </w:rPr>
              <w:fldChar w:fldCharType="separate"/>
            </w:r>
            <w:r>
              <w:rPr>
                <w:rStyle w:val="4"/>
                <w:rFonts w:hint="eastAsia" w:ascii="宋体" w:hAnsi="宋体" w:eastAsia="宋体" w:cs="宋体"/>
                <w:i w:val="0"/>
                <w:sz w:val="22"/>
                <w:szCs w:val="22"/>
                <w:u w:val="single"/>
                <w:bdr w:val="none" w:color="auto" w:sz="0" w:space="0"/>
              </w:rPr>
              <w:t>http://www.law-lib.com/law/law_view.asp?id=699308</w:t>
            </w:r>
            <w:r>
              <w:rPr>
                <w:rFonts w:hint="eastAsia" w:ascii="宋体" w:hAnsi="宋体" w:eastAsia="宋体" w:cs="宋体"/>
                <w:i w:val="0"/>
                <w:kern w:val="0"/>
                <w:sz w:val="22"/>
                <w:szCs w:val="22"/>
                <w:u w:val="single"/>
                <w:bdr w:val="none" w:color="auto" w:sz="0" w:space="0"/>
                <w:lang w:val="en-US" w:eastAsia="zh-CN" w:bidi="ar"/>
              </w:rPr>
              <w:fldChar w:fldCharType="end"/>
            </w:r>
          </w:p>
        </w:tc>
      </w:tr>
      <w:tr>
        <w:tblPrEx>
          <w:shd w:val="clear"/>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中国银保监会办公厅关于印发融资性信保业务保前管理和保后管理操作指引的通知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2020.09.14</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2020.09.14</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http://www.law-lib.com/law/law_view.asp?id=699307</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贯彻落实网络安全等级保护制度和关键信息基础设施安全保护制度的指导意见</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1A2930"/>
                <w:sz w:val="21"/>
                <w:szCs w:val="21"/>
                <w:u w:val="none"/>
              </w:rPr>
            </w:pPr>
            <w:r>
              <w:rPr>
                <w:rFonts w:hint="eastAsia" w:ascii="宋体" w:hAnsi="宋体" w:eastAsia="宋体" w:cs="宋体"/>
                <w:i w:val="0"/>
                <w:color w:val="1A2930"/>
                <w:kern w:val="0"/>
                <w:sz w:val="21"/>
                <w:szCs w:val="21"/>
                <w:u w:val="none"/>
                <w:bdr w:val="none" w:color="auto" w:sz="0" w:space="0"/>
                <w:lang w:val="en-US" w:eastAsia="zh-CN" w:bidi="ar"/>
              </w:rPr>
              <w:t>http://www.law-lib.com/law/law_view.asp?id=699305</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423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国务院办公厅关于同意太行山旅游业发展规划（2020—2035年）的函</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2020.09.11</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http://www.law-lib.com/law/law_view.asp?id=699046</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国务院办公厅关于以新业态新模式引领新型消费加快发展的意见</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2020.09.16</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2020.09.16</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http://www.law-lib.com/law/law_view.asp?id=699045</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关于调整国有企业经济效益月报相关指标的通知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2020.09.16</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2020.09.16</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http://www.law-lib.com/law/law_view.asp?id=699044</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关于印发《未成年人法律援助服务指引(试行)》的通知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2020.09.16</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2020.09.16</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http://www.law-lib.com/law/law_view.asp?id=699039</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关于开展燃料电池汽车示范应用的通知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2020.09.16</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2020.09.16</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http://www.law-lib.com/law/law_view.asp?id=699030</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市场监管总局关于贯彻落实《国务院办公厅关于支持出口产品转内销的实施意见》的公告</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2020.09.04</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2020.09.04</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http://www.law-lib.com/law/law_view.asp?id=699032</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最高人民检察院、公安部关于修改侵犯商业秘密刑事案件立案追诉标准的决定</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2020.09.17</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2020.09.17</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http://www.law-lib.com/law/law_view.asp?id=698957</w:t>
            </w:r>
          </w:p>
        </w:tc>
      </w:tr>
      <w:tr>
        <w:tblPrEx>
          <w:tblCellMar>
            <w:top w:w="0" w:type="dxa"/>
            <w:left w:w="0" w:type="dxa"/>
            <w:bottom w:w="0" w:type="dxa"/>
            <w:right w:w="0" w:type="dxa"/>
          </w:tblCellMar>
        </w:tblPrEx>
        <w:trPr>
          <w:trHeight w:val="800" w:hRule="atLeast"/>
        </w:trPr>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42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国务院办公厅关于坚决制止耕地“非农化”行为的通知</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2020.09.10</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2020.09.10</w:t>
            </w:r>
          </w:p>
        </w:tc>
        <w:tc>
          <w:tcPr>
            <w:tcW w:w="57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single"/>
              </w:rPr>
            </w:pPr>
            <w:r>
              <w:rPr>
                <w:rFonts w:hint="eastAsia" w:ascii="宋体" w:hAnsi="宋体" w:eastAsia="宋体" w:cs="宋体"/>
                <w:i w:val="0"/>
                <w:color w:val="0000FF"/>
                <w:kern w:val="0"/>
                <w:sz w:val="20"/>
                <w:szCs w:val="20"/>
                <w:u w:val="single"/>
                <w:bdr w:val="none" w:color="auto" w:sz="0" w:space="0"/>
                <w:lang w:val="en-US" w:eastAsia="zh-CN" w:bidi="ar"/>
              </w:rPr>
              <w:t>http://www.law-lib.com/law/law_view.asp?id=698942</w:t>
            </w:r>
          </w:p>
        </w:tc>
      </w:tr>
    </w:tbl>
    <w:p>
      <w:bookmarkStart w:id="0" w:name="_GoBack"/>
      <w:bookmarkEnd w:id="0"/>
    </w:p>
    <w:sectPr>
      <w:pgSz w:w="16838" w:h="11906" w:orient="landscape"/>
      <w:pgMar w:top="1800" w:right="1270" w:bottom="1800" w:left="15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D3DDD"/>
    <w:rsid w:val="108D3DDD"/>
    <w:rsid w:val="621B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2020-08-28T00:53:00Z</dcterms:created>
  <dc:creator>守望着远方，盼你的出现</dc:creator>
  <cp:lastModifiedBy>守望着远方，盼你的出现</cp:lastModifiedBy>
  <dcterms:modified xsi:type="dcterms:W3CDTF">2020-09-24T07:00:09Z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