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autofit"/>
        <w:tblCellMar>
          <w:top w:w="0" w:type="dxa"/>
          <w:left w:w="0" w:type="dxa"/>
          <w:bottom w:w="0" w:type="dxa"/>
          <w:right w:w="0" w:type="dxa"/>
        </w:tblCellMar>
      </w:tblPr>
      <w:tblGrid>
        <w:gridCol w:w="442"/>
        <w:gridCol w:w="1486"/>
        <w:gridCol w:w="1130"/>
        <w:gridCol w:w="1130"/>
        <w:gridCol w:w="6410"/>
      </w:tblGrid>
      <w:tr>
        <w:tblPrEx>
          <w:shd w:val="clear"/>
          <w:tblCellMar>
            <w:top w:w="0" w:type="dxa"/>
            <w:left w:w="0" w:type="dxa"/>
            <w:bottom w:w="0" w:type="dxa"/>
            <w:right w:w="0"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2020年11月法律法规更新清单</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【2020】第23号中国国家标准公告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2020.11.09</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http://std.sacinfo.org.cn/gnoc/queryInfo?id=85C0D58D4D47CBD1E10A3B600598C382</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2020年第25号中国国家标准公告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2020.11.17</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2020.11.17</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http://std.sacinfo.org.cn/gnoc/queryInfo?id=EF5E140CFAED8F0C733A2967CA877EB3</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2020年第26号中国国家标准公告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http://std.sacinfo.org.cn/gnoc/queryInfo?id=A3AAE367213CB7CBF4812C565A033D5B</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【2020】24号中国国家标准公告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2020.11.09</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http://std.sacinfo.org.cn/gnoc/queryInfo?id=1EA3A2D051D78019343AB70D50AC58D6</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废弃资源分类与代码（GB/T 27610-2020）（正在收录）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https://www.ehs.cn/law/114140.html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检测实验室安全 第6部分：电离辐射因素（GB/T 27476.6-2020）（正在收录）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https://www.ehs.cn/law/114139.html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铸造机械 术语（GB/T 25370-2020）（正在收录）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https://www.ehs.cn/law/114138.html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能源管理体系 要求及使用指南（GB/T 23331-2020）（正在收录）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https://www.ehs.cn/law/114137.html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379"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压力管道规范 工业管道 第6部分：安全防护（GB/T 20801.6-2020）（正在收录）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https://www.ehs.cn/law/114136.html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379"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压力管道规范 工业管道 第5部分:检验与试验（GB/T 20801.5-2020）（正在收录）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https://www.ehs.cn/law/114135.html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压力管道规范 工业管道 第4部分：制作与安装（GB/T 20801.4-2020）（正在收录）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https://www.ehs.cn/law/114134.html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压力管道规范 工业管道 第3部分：设计和计算（GB/T 20801.3-2020）（正在收录）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https://www.ehs.cn/law/114133.html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压力管道规范 工业管道 第2部分：材料（GB/T 20801.2-2020）（正在收录）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https://www.ehs.cn/law/114132.html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机械安全 接近机械的固定设施 第4部分：固定式直梯（GB/T 17888.4-2020）（正在收录）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https://www.ehs.cn/law/114131.html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机械安全 接近机械的固定设施 第3部分：楼梯、阶梯和护栏（GB/T 17888.3-2020）（正在收录）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https://www.ehs.cn/law/114130.html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机械安全 接近机械的固定设施 第2部分：工作平台与通道（GB/T 17888.2-2020）（正在收录）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https://www.ehs.cn/law/114129.html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机械安全 接近机械的固定设施 第1部分：固定设施的选择及接近的一般要求（GB/T 17888.1-2020）（正在收录）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https://www.ehs.cn/law/114128.html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坠落防护 安全带系统性能测试方法（GB/T 6096-2020）（正在收录）</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https://www.ehs.cn/law/114127.html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中华人民共和国国家标准公告2020年第26号</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2020.11.19</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1A2930"/>
                <w:sz w:val="21"/>
                <w:szCs w:val="21"/>
                <w:u w:val="none"/>
              </w:rPr>
            </w:pPr>
            <w:r>
              <w:rPr>
                <w:rFonts w:hint="eastAsia" w:ascii="宋体" w:hAnsi="宋体" w:eastAsia="宋体" w:cs="宋体"/>
                <w:i w:val="0"/>
                <w:color w:val="1A2930"/>
                <w:kern w:val="0"/>
                <w:sz w:val="21"/>
                <w:szCs w:val="21"/>
                <w:u w:val="none"/>
                <w:bdr w:val="none" w:color="auto" w:sz="0" w:space="0"/>
                <w:lang w:val="en-US" w:eastAsia="zh-CN" w:bidi="ar"/>
              </w:rPr>
              <w:t>https://www.ehs.cn/law/114121.html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379"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关于征求《人类组织样本采集与处理第1部分：手术切除组织》等14项推荐性国家标准（报批稿）意见的通知</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2020.11.05</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2020.11.05</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http://www.samr.gov.cn/bzjss/zqyj/202011/t20201105_323075.html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关于征求GB/T 38079-2019《淀粉基塑料购物袋》国家标准第1号修改单(报批稿）意见的通知</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2020.11.10</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2020.11.10</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http://www.samr.gov.cn/bzjss/zqyj/202011/t20201110_323247.html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关于征求《工业氯化铁》等551项拟立项推荐性国家标准项目意见的通知</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2020.11.06</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2020.11.06</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http://www.samr.gov.cn/bzjss/zqyj/202011/t20201106_323148.html</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关于发布国家环境保护标准《甲醇燃料汽车非常规污染物排放测量方法》的公告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2020.11.10</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2020.11.10</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http://www.law-lib.com/law/law_view.asp?id=707868</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教育部关于取消《在港澳地区学习证明》《大陆居民在台湾地区学习证明》的公告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2020.11.18</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2020.11.18</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http://www.law-lib.com/law/law_view.asp?id=707862</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国务院办公厅关于防止耕地“非粮化”稳定粮食生产的意见</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2020.11.04</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2020.11.04</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http://www.law-lib.com/law/law_view.asp?id=707616</w:t>
            </w:r>
          </w:p>
        </w:tc>
      </w:tr>
      <w:tr>
        <w:tblPrEx>
          <w:shd w:val="clear"/>
          <w:tblCellMar>
            <w:top w:w="0" w:type="dxa"/>
            <w:left w:w="0" w:type="dxa"/>
            <w:bottom w:w="0" w:type="dxa"/>
            <w:right w:w="0" w:type="dxa"/>
          </w:tblCellMar>
        </w:tblPrEx>
        <w:trPr>
          <w:trHeight w:val="80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最高人民法院关于知识产权民事诉讼证据的若干规定</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2020.11.16</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2020.11.16</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http://www.law-lib.com/law/law_view.asp?id=707466</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最高人民法院关于加强著作权和与著作权有关的权利保护的意见</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2020.11.16</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2020.11.16</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http://www.law-lib.com/law/law_view.asp?id=707464</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国务院办公厅关于同意建立第二轮土地承包到期后再延长三十年试点部际联席会议制度的函</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2020.11.09</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http://www.law-lib.com/law/law_view.asp?id=707369</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中国银保监会关于保险资金财务性股权投资有关事项的通知</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2020.11.12</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2020.11.12</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http://www.law-lib.com/law/law_view.asp?id=707125</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关于海南自由贸易港原辅料“零关税”政策的通知</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2020.11.11</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http://www.law-lib.com/law/law_view.asp?id=707122</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全国人民代表大会常务委员会关于修改《中华人民共和国著作权法》的决定</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2020.11.11</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2020.11.11</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http://www.law-lib.com/law/law_view.asp?id=706612</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关于因新冠肺炎疫情不可抗力出口退运货物税收规定的公告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2020.11.02</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2020.11.02</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http://www.law-lib.com/law/law_view.asp?id=705359</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中国汽车工业协会关于《旅居车辆太阳能系统应用规范》等6项团体标准征求意见的通知</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2020.11.10</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2020.11.10</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http://www.law-lib.com/fzdt/newshtml/20/20201120104037.htm</w:t>
            </w:r>
          </w:p>
        </w:tc>
      </w:tr>
      <w:tr>
        <w:tblPrEx>
          <w:shd w:val="clear"/>
          <w:tblCellMar>
            <w:top w:w="0" w:type="dxa"/>
            <w:left w:w="0" w:type="dxa"/>
            <w:bottom w:w="0" w:type="dxa"/>
            <w:right w:w="0" w:type="dxa"/>
          </w:tblCellMar>
        </w:tblPrEx>
        <w:trPr>
          <w:trHeight w:val="72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市场监管总局关于发布《特殊食品注册现场核查工作规程（暂行）》的公告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2020.11.25</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2020.11.25</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http://www.law-lib.com/law/law_view.asp?id=708136</w:t>
            </w:r>
          </w:p>
        </w:tc>
      </w:tr>
      <w:tr>
        <w:tblPrEx>
          <w:shd w:val="clear"/>
          <w:tblCellMar>
            <w:top w:w="0" w:type="dxa"/>
            <w:left w:w="0" w:type="dxa"/>
            <w:bottom w:w="0" w:type="dxa"/>
            <w:right w:w="0" w:type="dxa"/>
          </w:tblCellMar>
        </w:tblPrEx>
        <w:trPr>
          <w:trHeight w:val="74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关于调整加工贸易禁止类商品目录的公告</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2020.11.05</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2020.11.05</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http://www.law-lib.com/law/law_view.asp?id=707863</w:t>
            </w:r>
          </w:p>
        </w:tc>
      </w:tr>
      <w:tr>
        <w:tblPrEx>
          <w:shd w:val="clear"/>
          <w:tblCellMar>
            <w:top w:w="0" w:type="dxa"/>
            <w:left w:w="0" w:type="dxa"/>
            <w:bottom w:w="0" w:type="dxa"/>
            <w:right w:w="0" w:type="dxa"/>
          </w:tblCellMar>
        </w:tblPrEx>
        <w:trPr>
          <w:trHeight w:val="740" w:hRule="atLeast"/>
        </w:trPr>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37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国务院办公厅关于同意建立第二轮土地承包到期后再延长三十年试点部际联席会议制度的函</w:t>
            </w:r>
          </w:p>
        </w:tc>
        <w:tc>
          <w:tcPr>
            <w:tcW w:w="50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2020.11.09</w:t>
            </w:r>
          </w:p>
        </w:tc>
        <w:tc>
          <w:tcPr>
            <w:tcW w:w="4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2020.11.09</w:t>
            </w:r>
          </w:p>
        </w:tc>
        <w:tc>
          <w:tcPr>
            <w:tcW w:w="23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http://www.law-lib.com/law/law_view.asp?id=707369</w:t>
            </w:r>
          </w:p>
        </w:tc>
      </w:tr>
    </w:tbl>
    <w:p/>
    <w:sectPr>
      <w:pgSz w:w="11906" w:h="16838"/>
      <w:pgMar w:top="1440" w:right="669" w:bottom="1440"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75205"/>
    <w:rsid w:val="4017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2020-11-27T03:04:00Z</dcterms:created>
  <dc:creator>守望着远方，盼你的出现</dc:creator>
  <cp:lastModifiedBy>守望着远方，盼你的出现</cp:lastModifiedBy>
  <dcterms:modified xsi:type="dcterms:W3CDTF">2020-11-27T03:06:52Z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