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shd w:val="clear"/>
        <w:tblLayout w:type="fixed"/>
        <w:tblCellMar>
          <w:top w:w="0" w:type="dxa"/>
          <w:left w:w="0" w:type="dxa"/>
          <w:bottom w:w="0" w:type="dxa"/>
          <w:right w:w="0" w:type="dxa"/>
        </w:tblCellMar>
      </w:tblPr>
      <w:tblGrid>
        <w:gridCol w:w="499"/>
        <w:gridCol w:w="2900"/>
        <w:gridCol w:w="1417"/>
        <w:gridCol w:w="1567"/>
        <w:gridCol w:w="4215"/>
      </w:tblGrid>
      <w:tr>
        <w:tblPrEx>
          <w:tblCellMar>
            <w:top w:w="0" w:type="dxa"/>
            <w:left w:w="0" w:type="dxa"/>
            <w:bottom w:w="0" w:type="dxa"/>
            <w:right w:w="0" w:type="dxa"/>
          </w:tblCellMar>
        </w:tblPrEx>
        <w:trPr>
          <w:trHeight w:val="936"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2021年03月法律法规更新清单</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NO.</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名称</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颁布日期</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实施日期</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来源</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368" w:type="pc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关于废止《苏州市合同格式条款管理办法》等3件规章的决定</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2021.03.12</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2021.03.12</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https://www.ehs.cn/law/115487.html</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广东省应急管理厅关于严格落实危险化学品生产“四个严禁”的通知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2021.03.13</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2021.03.13</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https://www.ehs.cn/law/115545.html</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市生态环境局 市规划资源局关于更新《天津市建设用地土壤污染风险管控和修复名录》的通知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2021.03.15</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2021.03.15</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https://www.ehs.cn/law/115554.html</w:t>
            </w:r>
          </w:p>
        </w:tc>
      </w:tr>
      <w:tr>
        <w:tblPrEx>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关于调整优化我市建设工程消防验收、备案抽查事项的通知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2021.03.15</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2021.04.01</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https://www.ehs.cn/law/115455.html</w:t>
            </w:r>
          </w:p>
        </w:tc>
      </w:tr>
      <w:tr>
        <w:tblPrEx>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住房和城乡建设部办公厅关于印发绿色建造技术导则（试行）的通知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2021.03.16</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2021.03.16</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https://www.ehs.cn/law/115544.html</w:t>
            </w:r>
          </w:p>
        </w:tc>
      </w:tr>
      <w:tr>
        <w:tblPrEx>
          <w:shd w:val="clear"/>
          <w:tblCellMar>
            <w:top w:w="0" w:type="dxa"/>
            <w:left w:w="0" w:type="dxa"/>
            <w:bottom w:w="0" w:type="dxa"/>
            <w:right w:w="0" w:type="dxa"/>
          </w:tblCellMar>
        </w:tblPrEx>
        <w:trPr>
          <w:trHeight w:val="90"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市政府关于印发苏州市大件垃圾管理办法的通知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2021.03.13</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2021.05.01</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https://www.ehs.cn/law/115534.html</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关于“十四五”大宗固体废弃物综合利用的指导意见</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2021.03.18</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2021.03.18</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https://www.ehs.cn/law/115573.html</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市安委会关于印发天津市开展危险化学品安全隐患大起底大排查工作方案的通知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2021.03.18</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2021.03.18</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https://www.ehs.cn/law/115553.html</w:t>
            </w:r>
          </w:p>
        </w:tc>
      </w:tr>
      <w:tr>
        <w:tblPrEx>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市应急局关于印发危险化学品安全隐患大起底大排查工作方案的通知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2021.03.19</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2021.03.19</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https://www.ehs.cn/law/115551.html</w:t>
            </w:r>
          </w:p>
        </w:tc>
      </w:tr>
      <w:tr>
        <w:tblPrEx>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368" w:type="pc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市应急局关于向危险化学品企业发出安全警示提醒的通知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2021.03.19</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2021.03.19</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https://www.ehs.cn/law/115550.html</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关于印发《农业面源污染治理与监督指导实施方案（试行）》的通知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2021.03.20</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2021.03.20</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https://www.ehs.cn/law/115575.html</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山东省铁路安全管理条例</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2021.03.24</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2021.05.01</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https://www.ehs.cn/law/115560.html</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浙江省人民代表大会常务委员会关于修改《浙江省防震减灾条例》等五件地方性法规的决定</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2021.03.26</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2021.03.26</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https://www.ehs.cn/law/115578.html</w:t>
            </w:r>
          </w:p>
        </w:tc>
      </w:tr>
      <w:tr>
        <w:tblPrEx>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关于印发《企业温室气体排放报告核查指南（试行）》的通知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2021.03.26</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2021.03.26</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https://www.ehs.cn/law/115574.html</w:t>
            </w:r>
          </w:p>
        </w:tc>
      </w:tr>
      <w:tr>
        <w:tblPrEx>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深圳市市场监督管理局关于开展2021年度深圳市知识产权保护类专项资金项目申报工作的通知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2021.03.31</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2021.03.31</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http://amr.sz.gov.cn/xxgk/qt/tzgg/content/post_8661031.html</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深圳市市场监督管理局关于组织申报2021年度深圳市知识产权运营服务体系建设专项资金资助项目的通知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2021.03.31</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2021.03.31</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http://amr.sz.gov.cn/xxgk/qt/tzgg/content/post_8660305.html</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深圳市市场监督管理局关于推荐医疗器械审评专家的通知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2021.03.30</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2021.03.30</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http://amr.sz.gov.cn/xxgk/qt/tzgg/content/post_8659559.html</w:t>
            </w:r>
          </w:p>
        </w:tc>
      </w:tr>
      <w:tr>
        <w:tblPrEx>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深圳市市场监督管理局关于开展2021年上市许可持有人医疗器械不良事件监测自查工作的通知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2021.03.30</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2021.03.30</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http://amr.sz.gov.cn/xxgk/qt/tzgg/content/post_8659513.html</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深圳市市场监督管理局关于公开征求《公共饮用水管网运行管理规程》等3项地方标准意见的通告</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2021.03.05</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2021.03.05</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1A2930"/>
                <w:sz w:val="21"/>
                <w:szCs w:val="21"/>
                <w:u w:val="none"/>
              </w:rPr>
            </w:pPr>
            <w:r>
              <w:rPr>
                <w:rFonts w:hint="eastAsia" w:ascii="宋体" w:hAnsi="宋体" w:eastAsia="宋体" w:cs="宋体"/>
                <w:i w:val="0"/>
                <w:color w:val="1A2930"/>
                <w:kern w:val="0"/>
                <w:sz w:val="21"/>
                <w:szCs w:val="21"/>
                <w:u w:val="none"/>
                <w:bdr w:val="none" w:color="auto" w:sz="0" w:space="0"/>
                <w:lang w:val="en-US" w:eastAsia="zh-CN" w:bidi="ar"/>
              </w:rPr>
              <w:t>http://amr.sz.gov.cn/xxgk/qt/tzgg/content/post_8588124.html</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1368" w:type="pc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市场监管总局办公厅关于印发《计量标准考评员管理规定》的通知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2021.03.26</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2021.03.26</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http://www.law-lib.com/law/law_view.asp?id=716387</w:t>
            </w:r>
          </w:p>
        </w:tc>
      </w:tr>
      <w:tr>
        <w:tblPrEx>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市场监管总局关于开展2021年“治理涉企收费 减轻企业负担”专项行动工作的通知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2021.03.22</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2021.03.22</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说</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关于印发《关于加强地方国有企业债务风险管控工作的指导意见》的通知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2021.02.28</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2021.02.28</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http://www.law-lib.com/law/law_view.asp?id=715735</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市场监管总局关于婴幼儿配方乳粉产品配方注册有关事宜的公告</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2021.03.23</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2021.03.23</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http://www.law-lib.com/law/law_view.asp?id=715739</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网络交易监督管理办法</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2021.03.15</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2021.03.15</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http://www.law-lib.com/law/law_view.asp?id=714550</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住房和城乡建设部就《关于加强县城绿色低碳建设的通知（征求意见稿）》公开征求意见的通知</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2021.03.30</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2021.03.30</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http://www.law-lib.com/fzdt/newshtml/20/20210330145333.htm</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医疗器械监督管理条例</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2021.03.18</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2021.03.18</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http://www.gov.cn/zhengce/content/2021-03/18/content_5593739.htm</w:t>
            </w:r>
          </w:p>
        </w:tc>
      </w:tr>
      <w:tr>
        <w:tblPrEx>
          <w:shd w:val="clear"/>
          <w:tblCellMar>
            <w:top w:w="0" w:type="dxa"/>
            <w:left w:w="0" w:type="dxa"/>
            <w:bottom w:w="0" w:type="dxa"/>
            <w:right w:w="0" w:type="dxa"/>
          </w:tblCellMar>
        </w:tblPrEx>
        <w:trPr>
          <w:trHeight w:val="936" w:hRule="atLeast"/>
        </w:trPr>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13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行政事业性国有资产管理条例</w:t>
            </w:r>
          </w:p>
        </w:tc>
        <w:tc>
          <w:tcPr>
            <w:tcW w:w="6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2021.03.17</w:t>
            </w:r>
          </w:p>
        </w:tc>
        <w:tc>
          <w:tcPr>
            <w:tcW w:w="7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2021.03.17</w:t>
            </w:r>
          </w:p>
        </w:tc>
        <w:tc>
          <w:tcPr>
            <w:tcW w:w="198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http://www.gov.cn/zhengce/content/2021-03/17/content_5593484.htm</w:t>
            </w:r>
          </w:p>
        </w:tc>
      </w:tr>
    </w:tbl>
    <w:p>
      <w:bookmarkStart w:id="0" w:name="_GoBack"/>
      <w:bookmarkEnd w:id="0"/>
    </w:p>
    <w:sectPr>
      <w:pgSz w:w="11906" w:h="16838"/>
      <w:pgMar w:top="1440" w:right="669" w:bottom="1440" w:left="6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0008D"/>
    <w:rsid w:val="6A60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2021-03-31T07:49:00Z</dcterms:created>
  <dc:creator>守望着远方，盼你的出现</dc:creator>
  <cp:lastModifiedBy>守望着远方，盼你的出现</cp:lastModifiedBy>
  <dcterms:modified xsi:type="dcterms:W3CDTF">2021-03-31T07:53:23Z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