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24312" w:type="dxa"/>
        <w:tblInd w:w="0" w:type="dxa"/>
        <w:tblLayout w:type="fixed"/>
        <w:tblCellMar>
          <w:top w:w="0" w:type="dxa"/>
          <w:left w:w="0" w:type="dxa"/>
          <w:bottom w:w="0" w:type="dxa"/>
          <w:right w:w="0" w:type="dxa"/>
        </w:tblCellMar>
      </w:tblPr>
      <w:tblGrid>
        <w:gridCol w:w="1012"/>
        <w:gridCol w:w="7718"/>
        <w:gridCol w:w="1988"/>
        <w:gridCol w:w="1950"/>
        <w:gridCol w:w="11644"/>
      </w:tblGrid>
      <w:tr w14:paraId="273EB462">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14:paraId="5101089C">
            <w:pPr>
              <w:jc w:val="center"/>
              <w:rPr>
                <w:color w:val="FFFFFF"/>
              </w:rPr>
            </w:pPr>
            <w:r>
              <w:rPr>
                <w:rFonts w:hint="eastAsia"/>
                <w:color w:val="FFFFFF"/>
              </w:rPr>
              <w:t>No</w:t>
            </w:r>
          </w:p>
        </w:tc>
        <w:tc>
          <w:tcPr>
            <w:tcW w:w="7718"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14:paraId="08D7C20A">
            <w:pPr>
              <w:jc w:val="center"/>
              <w:rPr>
                <w:b/>
                <w:bCs/>
                <w:color w:val="FFFFFF"/>
              </w:rPr>
            </w:pPr>
            <w:r>
              <w:rPr>
                <w:rFonts w:hint="eastAsia"/>
                <w:b/>
                <w:bCs/>
                <w:color w:val="FFFFFF"/>
              </w:rPr>
              <w:t>名称</w:t>
            </w:r>
          </w:p>
        </w:tc>
        <w:tc>
          <w:tcPr>
            <w:tcW w:w="1988"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14:paraId="5923D6CF">
            <w:pPr>
              <w:jc w:val="center"/>
              <w:rPr>
                <w:b/>
                <w:bCs/>
                <w:color w:val="FFFFFF"/>
              </w:rPr>
            </w:pPr>
            <w:r>
              <w:rPr>
                <w:rFonts w:hint="eastAsia"/>
                <w:b/>
                <w:bCs/>
                <w:color w:val="FFFFFF"/>
              </w:rPr>
              <w:t>颁布日期</w:t>
            </w:r>
          </w:p>
        </w:tc>
        <w:tc>
          <w:tcPr>
            <w:tcW w:w="1950"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14:paraId="16B6A4D1">
            <w:pPr>
              <w:jc w:val="center"/>
              <w:rPr>
                <w:b/>
                <w:bCs/>
                <w:color w:val="FFFFFF"/>
              </w:rPr>
            </w:pPr>
            <w:r>
              <w:rPr>
                <w:rFonts w:hint="eastAsia"/>
                <w:b/>
                <w:bCs/>
                <w:color w:val="FFFFFF"/>
              </w:rPr>
              <w:t>实施日期</w:t>
            </w:r>
          </w:p>
        </w:tc>
        <w:tc>
          <w:tcPr>
            <w:tcW w:w="11644"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14:paraId="1409DDF3">
            <w:pPr>
              <w:jc w:val="center"/>
              <w:rPr>
                <w:b/>
                <w:bCs/>
                <w:color w:val="FFFFFF"/>
              </w:rPr>
            </w:pPr>
            <w:r>
              <w:rPr>
                <w:rFonts w:hint="eastAsia"/>
                <w:b/>
                <w:bCs/>
                <w:color w:val="FFFFFF"/>
              </w:rPr>
              <w:t>来源</w:t>
            </w:r>
          </w:p>
        </w:tc>
      </w:tr>
      <w:tr w14:paraId="7C88CF74">
        <w:tblPrEx>
          <w:tblCellMar>
            <w:top w:w="0" w:type="dxa"/>
            <w:left w:w="0" w:type="dxa"/>
            <w:bottom w:w="0" w:type="dxa"/>
            <w:right w:w="0" w:type="dxa"/>
          </w:tblCellMar>
        </w:tblPrEx>
        <w:trPr>
          <w:trHeight w:val="560" w:hRule="atLeast"/>
        </w:trPr>
        <w:tc>
          <w:tcPr>
            <w:tcW w:w="1012" w:type="dxa"/>
            <w:tcBorders>
              <w:top w:val="single" w:color="FFFFFF" w:sz="1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14:paraId="0109DD9A">
            <w:pPr>
              <w:keepNext w:val="0"/>
              <w:keepLines w:val="0"/>
              <w:widowControl/>
              <w:suppressLineNumbers w:val="0"/>
              <w:jc w:val="center"/>
              <w:textAlignment w:val="center"/>
              <w:rPr>
                <w:color w:val="000000"/>
              </w:rPr>
            </w:pPr>
            <w:r>
              <w:rPr>
                <w:rFonts w:hint="eastAsia" w:ascii="宋体" w:hAnsi="宋体" w:eastAsia="宋体" w:cs="宋体"/>
                <w:i w:val="0"/>
                <w:iCs w:val="0"/>
                <w:color w:val="000000"/>
                <w:kern w:val="0"/>
                <w:sz w:val="24"/>
                <w:szCs w:val="24"/>
                <w:u w:val="none"/>
                <w:lang w:val="en-US" w:eastAsia="zh-CN" w:bidi="ar"/>
              </w:rPr>
              <w:t>1</w:t>
            </w:r>
          </w:p>
        </w:tc>
        <w:tc>
          <w:tcPr>
            <w:tcW w:w="7718" w:type="dxa"/>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14:paraId="6D995C6C">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关于调整检验机构认可申请及评审资料提交方式的通知</w:t>
            </w:r>
          </w:p>
        </w:tc>
        <w:tc>
          <w:tcPr>
            <w:tcW w:w="1988" w:type="dxa"/>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14:paraId="3FC1F498">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2025.03.01</w:t>
            </w:r>
          </w:p>
        </w:tc>
        <w:tc>
          <w:tcPr>
            <w:tcW w:w="1950" w:type="dxa"/>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14:paraId="532B246F">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2025.03.01</w:t>
            </w:r>
          </w:p>
        </w:tc>
        <w:tc>
          <w:tcPr>
            <w:tcW w:w="11644" w:type="dxa"/>
            <w:tcBorders>
              <w:top w:val="single" w:color="FFFFFF" w:sz="1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14:paraId="1381BEB9">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"https://www.cnas.org.cn/zxzx/zxtz/art/2025/art_c92e4f9ed2764fadb8a6745081b0aa8e.html"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https://www.cnas.org.cn/zxzx/zxtz/art/2025/art_c92e4f9ed2764fadb8a6745081b0aa8e.html</w:t>
            </w:r>
            <w:r>
              <w:rPr>
                <w:rFonts w:hint="eastAsia" w:ascii="宋体" w:hAnsi="宋体" w:eastAsia="宋体" w:cs="宋体"/>
                <w:i w:val="0"/>
                <w:iCs w:val="0"/>
                <w:kern w:val="0"/>
                <w:sz w:val="22"/>
                <w:szCs w:val="22"/>
                <w:u w:val="single"/>
                <w:lang w:val="en-US" w:eastAsia="zh-CN" w:bidi="ar"/>
              </w:rPr>
              <w:fldChar w:fldCharType="end"/>
            </w:r>
          </w:p>
        </w:tc>
      </w:tr>
      <w:tr w14:paraId="53074D4F">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14:paraId="61595A5A">
            <w:pPr>
              <w:keepNext w:val="0"/>
              <w:keepLines w:val="0"/>
              <w:widowControl/>
              <w:suppressLineNumbers w:val="0"/>
              <w:jc w:val="center"/>
              <w:textAlignment w:val="center"/>
              <w:rPr>
                <w:color w:val="000000"/>
              </w:rPr>
            </w:pPr>
            <w:r>
              <w:rPr>
                <w:rFonts w:hint="eastAsia" w:ascii="宋体" w:hAnsi="宋体" w:eastAsia="宋体" w:cs="宋体"/>
                <w:i w:val="0"/>
                <w:iCs w:val="0"/>
                <w:color w:val="000000"/>
                <w:kern w:val="0"/>
                <w:sz w:val="24"/>
                <w:szCs w:val="24"/>
                <w:u w:val="none"/>
                <w:lang w:val="en-US" w:eastAsia="zh-CN" w:bidi="ar"/>
              </w:rPr>
              <w:t>2</w:t>
            </w:r>
          </w:p>
        </w:tc>
        <w:tc>
          <w:tcPr>
            <w:tcW w:w="771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14:paraId="69890D52">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国家突发事件总体应急预案一图读懂</w:t>
            </w:r>
          </w:p>
        </w:tc>
        <w:tc>
          <w:tcPr>
            <w:tcW w:w="198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14:paraId="64295E2A">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2025.03.03</w:t>
            </w:r>
          </w:p>
        </w:tc>
        <w:tc>
          <w:tcPr>
            <w:tcW w:w="195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14:paraId="362790E8">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2025.03.03</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14:paraId="36457E8D">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"http://www.mem.gov.cn/gk/zcjd/202503/t20250303_521425.shtml"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http://www.mem.gov.cn/gk/zcjd/202503/t20250303_521425.shtml</w:t>
            </w:r>
            <w:r>
              <w:rPr>
                <w:rFonts w:hint="eastAsia" w:ascii="宋体" w:hAnsi="宋体" w:eastAsia="宋体" w:cs="宋体"/>
                <w:i w:val="0"/>
                <w:iCs w:val="0"/>
                <w:kern w:val="0"/>
                <w:sz w:val="22"/>
                <w:szCs w:val="22"/>
                <w:u w:val="single"/>
                <w:lang w:val="en-US" w:eastAsia="zh-CN" w:bidi="ar"/>
              </w:rPr>
              <w:fldChar w:fldCharType="end"/>
            </w:r>
          </w:p>
        </w:tc>
      </w:tr>
      <w:tr w14:paraId="780710E1">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14:paraId="0003D1CB">
            <w:pPr>
              <w:keepNext w:val="0"/>
              <w:keepLines w:val="0"/>
              <w:widowControl/>
              <w:suppressLineNumbers w:val="0"/>
              <w:jc w:val="center"/>
              <w:textAlignment w:val="center"/>
              <w:rPr>
                <w:color w:val="000000"/>
              </w:rPr>
            </w:pPr>
            <w:r>
              <w:rPr>
                <w:rFonts w:hint="eastAsia" w:ascii="宋体" w:hAnsi="宋体" w:eastAsia="宋体" w:cs="宋体"/>
                <w:i w:val="0"/>
                <w:iCs w:val="0"/>
                <w:color w:val="000000"/>
                <w:kern w:val="0"/>
                <w:sz w:val="24"/>
                <w:szCs w:val="24"/>
                <w:u w:val="none"/>
                <w:lang w:val="en-US" w:eastAsia="zh-CN" w:bidi="ar"/>
              </w:rPr>
              <w:t>3</w:t>
            </w:r>
          </w:p>
        </w:tc>
        <w:tc>
          <w:tcPr>
            <w:tcW w:w="771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14:paraId="6DABC6B2">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市工业和信息化局关于2025年企业技术改造项目扶持计划（绿色制造试点示范奖励项目）拟资助项目公示的通知</w:t>
            </w:r>
          </w:p>
        </w:tc>
        <w:tc>
          <w:tcPr>
            <w:tcW w:w="1988"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14:paraId="13502BCA">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2025.03.03</w:t>
            </w:r>
          </w:p>
        </w:tc>
        <w:tc>
          <w:tcPr>
            <w:tcW w:w="1950"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14:paraId="30295C7C">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2025.03.03</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14:paraId="13E7E1E9">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"https://gxj.sz.gov.cn/xxgk/xxgkml/qt/tzgg/content/post_12052853.html"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https://gxj.sz.gov.cn/xxgk/xxgkml/qt/tzgg/content/post_12052853.html</w:t>
            </w:r>
            <w:r>
              <w:rPr>
                <w:rFonts w:hint="eastAsia" w:ascii="宋体" w:hAnsi="宋体" w:eastAsia="宋体" w:cs="宋体"/>
                <w:i w:val="0"/>
                <w:iCs w:val="0"/>
                <w:kern w:val="0"/>
                <w:sz w:val="22"/>
                <w:szCs w:val="22"/>
                <w:u w:val="single"/>
                <w:lang w:val="en-US" w:eastAsia="zh-CN" w:bidi="ar"/>
              </w:rPr>
              <w:fldChar w:fldCharType="end"/>
            </w:r>
          </w:p>
        </w:tc>
      </w:tr>
      <w:tr w14:paraId="6DBE4BCD">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14:paraId="01814FA5">
            <w:pPr>
              <w:keepNext w:val="0"/>
              <w:keepLines w:val="0"/>
              <w:widowControl/>
              <w:suppressLineNumbers w:val="0"/>
              <w:jc w:val="center"/>
              <w:textAlignment w:val="center"/>
              <w:rPr>
                <w:color w:val="000000"/>
              </w:rPr>
            </w:pPr>
            <w:r>
              <w:rPr>
                <w:rFonts w:hint="eastAsia" w:ascii="宋体" w:hAnsi="宋体" w:eastAsia="宋体" w:cs="宋体"/>
                <w:i w:val="0"/>
                <w:iCs w:val="0"/>
                <w:color w:val="000000"/>
                <w:kern w:val="0"/>
                <w:sz w:val="24"/>
                <w:szCs w:val="24"/>
                <w:u w:val="none"/>
                <w:lang w:val="en-US" w:eastAsia="zh-CN" w:bidi="ar"/>
              </w:rPr>
              <w:t>4</w:t>
            </w:r>
          </w:p>
        </w:tc>
        <w:tc>
          <w:tcPr>
            <w:tcW w:w="771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14:paraId="36F1C923">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市场监管总局 国家消防救援局关于对消防安全标志不再实施强制性产品认证管理的公告</w:t>
            </w:r>
          </w:p>
        </w:tc>
        <w:tc>
          <w:tcPr>
            <w:tcW w:w="1988"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14:paraId="5E625F04">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2025.03.03</w:t>
            </w:r>
          </w:p>
        </w:tc>
        <w:tc>
          <w:tcPr>
            <w:tcW w:w="1950"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14:paraId="6679C375">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2025.03.03</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14:paraId="44CFF03C">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"https://www.samr.gov.cn/zw/zfxxgk/fdzdgknr/rzjgs/art/2025/art_3eae4494d5da40d18d249c8eaee4feda.html"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https://www.samr.gov.cn/zw/zfxxgk/fdzdgknr/rzjgs/art/2025/art_3eae4494d5da40d18d249c8eaee4feda.html</w:t>
            </w:r>
            <w:r>
              <w:rPr>
                <w:rFonts w:hint="eastAsia" w:ascii="宋体" w:hAnsi="宋体" w:eastAsia="宋体" w:cs="宋体"/>
                <w:i w:val="0"/>
                <w:iCs w:val="0"/>
                <w:kern w:val="0"/>
                <w:sz w:val="22"/>
                <w:szCs w:val="22"/>
                <w:u w:val="single"/>
                <w:lang w:val="en-US" w:eastAsia="zh-CN" w:bidi="ar"/>
              </w:rPr>
              <w:fldChar w:fldCharType="end"/>
            </w:r>
          </w:p>
        </w:tc>
      </w:tr>
      <w:tr w14:paraId="7D0AE9C1">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14:paraId="7DF336F5">
            <w:pPr>
              <w:keepNext w:val="0"/>
              <w:keepLines w:val="0"/>
              <w:widowControl/>
              <w:suppressLineNumbers w:val="0"/>
              <w:jc w:val="center"/>
              <w:textAlignment w:val="center"/>
              <w:rPr>
                <w:color w:val="000000"/>
              </w:rPr>
            </w:pPr>
            <w:r>
              <w:rPr>
                <w:rFonts w:hint="eastAsia" w:ascii="宋体" w:hAnsi="宋体" w:eastAsia="宋体" w:cs="宋体"/>
                <w:i w:val="0"/>
                <w:iCs w:val="0"/>
                <w:color w:val="000000"/>
                <w:kern w:val="0"/>
                <w:sz w:val="24"/>
                <w:szCs w:val="24"/>
                <w:u w:val="none"/>
                <w:lang w:val="en-US" w:eastAsia="zh-CN" w:bidi="ar"/>
              </w:rPr>
              <w:t>5</w:t>
            </w:r>
          </w:p>
        </w:tc>
        <w:tc>
          <w:tcPr>
            <w:tcW w:w="771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14:paraId="096EF48C">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上海市经济信息化委关于开展2025年度上海市工业通信业节能减排和合同能源管理专项资金项目申报工作的通知</w:t>
            </w:r>
          </w:p>
        </w:tc>
        <w:tc>
          <w:tcPr>
            <w:tcW w:w="198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14:paraId="09511DC2">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2025.03.05</w:t>
            </w:r>
          </w:p>
        </w:tc>
        <w:tc>
          <w:tcPr>
            <w:tcW w:w="1950"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14:paraId="5A7EEB07">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2025.03.05</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14:paraId="6A820F68">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"https://sheitc.sh.gov.cn/cyfz/20250305/168c72d3b7c64c10b0422fd057529265.html"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https://sheitc.sh.gov.cn/cyfz/20250305/168c72d3b7c64c10b0422fd057529265.html</w:t>
            </w:r>
            <w:r>
              <w:rPr>
                <w:rFonts w:hint="eastAsia" w:ascii="宋体" w:hAnsi="宋体" w:eastAsia="宋体" w:cs="宋体"/>
                <w:i w:val="0"/>
                <w:iCs w:val="0"/>
                <w:kern w:val="0"/>
                <w:sz w:val="22"/>
                <w:szCs w:val="22"/>
                <w:u w:val="single"/>
                <w:lang w:val="en-US" w:eastAsia="zh-CN" w:bidi="ar"/>
              </w:rPr>
              <w:fldChar w:fldCharType="end"/>
            </w:r>
          </w:p>
        </w:tc>
      </w:tr>
      <w:tr w14:paraId="66EF2919">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14:paraId="59742F90">
            <w:pPr>
              <w:keepNext w:val="0"/>
              <w:keepLines w:val="0"/>
              <w:widowControl/>
              <w:suppressLineNumbers w:val="0"/>
              <w:jc w:val="center"/>
              <w:textAlignment w:val="center"/>
              <w:rPr>
                <w:color w:val="000000"/>
              </w:rPr>
            </w:pPr>
            <w:r>
              <w:rPr>
                <w:rFonts w:hint="eastAsia" w:ascii="宋体" w:hAnsi="宋体" w:eastAsia="宋体" w:cs="宋体"/>
                <w:i w:val="0"/>
                <w:iCs w:val="0"/>
                <w:color w:val="000000"/>
                <w:kern w:val="0"/>
                <w:sz w:val="24"/>
                <w:szCs w:val="24"/>
                <w:u w:val="none"/>
                <w:lang w:val="en-US" w:eastAsia="zh-CN" w:bidi="ar"/>
              </w:rPr>
              <w:t>6</w:t>
            </w:r>
          </w:p>
        </w:tc>
        <w:tc>
          <w:tcPr>
            <w:tcW w:w="7718"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14:paraId="43BB17D8">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工业和信息化部办公厅关于印发《工业企业和园区数字化能碳管理中心建设指南》的通知</w:t>
            </w:r>
          </w:p>
        </w:tc>
        <w:tc>
          <w:tcPr>
            <w:tcW w:w="198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14:paraId="0EA5C14E">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2025.03.07</w:t>
            </w:r>
          </w:p>
        </w:tc>
        <w:tc>
          <w:tcPr>
            <w:tcW w:w="195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14:paraId="140E5FB2">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2025.03.07</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14:paraId="7D30F512">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"https://www.hunan.gov.cn/zqt/zcsd/202503/t20250318_33615744.html"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https://www.hunan.gov.cn/zqt/zcsd/202503/t20250318_33615744.html</w:t>
            </w:r>
            <w:r>
              <w:rPr>
                <w:rFonts w:hint="eastAsia" w:ascii="宋体" w:hAnsi="宋体" w:eastAsia="宋体" w:cs="宋体"/>
                <w:i w:val="0"/>
                <w:iCs w:val="0"/>
                <w:kern w:val="0"/>
                <w:sz w:val="22"/>
                <w:szCs w:val="22"/>
                <w:u w:val="single"/>
                <w:lang w:val="en-US" w:eastAsia="zh-CN" w:bidi="ar"/>
              </w:rPr>
              <w:fldChar w:fldCharType="end"/>
            </w:r>
          </w:p>
        </w:tc>
      </w:tr>
      <w:tr w14:paraId="19ECCAA2">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14:paraId="7E9B5FC0">
            <w:pPr>
              <w:keepNext w:val="0"/>
              <w:keepLines w:val="0"/>
              <w:widowControl/>
              <w:suppressLineNumbers w:val="0"/>
              <w:jc w:val="center"/>
              <w:textAlignment w:val="center"/>
              <w:rPr>
                <w:color w:val="000000"/>
              </w:rPr>
            </w:pPr>
            <w:r>
              <w:rPr>
                <w:rFonts w:hint="eastAsia" w:ascii="宋体" w:hAnsi="宋体" w:eastAsia="宋体" w:cs="宋体"/>
                <w:i w:val="0"/>
                <w:iCs w:val="0"/>
                <w:color w:val="000000"/>
                <w:kern w:val="0"/>
                <w:sz w:val="24"/>
                <w:szCs w:val="24"/>
                <w:u w:val="none"/>
                <w:lang w:val="en-US" w:eastAsia="zh-CN" w:bidi="ar"/>
              </w:rPr>
              <w:t>7</w:t>
            </w:r>
          </w:p>
        </w:tc>
        <w:tc>
          <w:tcPr>
            <w:tcW w:w="7718"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14:paraId="5860ED7F">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市场监管总局办公厅关于开展全国标准实施监测点申报工作的通知</w:t>
            </w:r>
          </w:p>
        </w:tc>
        <w:tc>
          <w:tcPr>
            <w:tcW w:w="198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14:paraId="04DD5878">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2025.03.17</w:t>
            </w:r>
          </w:p>
        </w:tc>
        <w:tc>
          <w:tcPr>
            <w:tcW w:w="1950"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14:paraId="4891E516">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2025.03.17</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14:paraId="2342399D">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"https://www.samr.gov.cn/bzcxs/zcwj/art/2025/art_90ce12627e1e42729e7fffc387bb5676.html"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https://www.samr.gov.cn/bzcxs/zcwj/art/2025/art_90ce12627e1e42729e7fffc387bb5676.html</w:t>
            </w:r>
            <w:r>
              <w:rPr>
                <w:rFonts w:hint="eastAsia" w:ascii="宋体" w:hAnsi="宋体" w:eastAsia="宋体" w:cs="宋体"/>
                <w:i w:val="0"/>
                <w:iCs w:val="0"/>
                <w:kern w:val="0"/>
                <w:sz w:val="22"/>
                <w:szCs w:val="22"/>
                <w:u w:val="single"/>
                <w:lang w:val="en-US" w:eastAsia="zh-CN" w:bidi="ar"/>
              </w:rPr>
              <w:fldChar w:fldCharType="end"/>
            </w:r>
          </w:p>
        </w:tc>
      </w:tr>
      <w:tr w14:paraId="52E20878">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14:paraId="66939AC7">
            <w:pPr>
              <w:keepNext w:val="0"/>
              <w:keepLines w:val="0"/>
              <w:widowControl/>
              <w:suppressLineNumbers w:val="0"/>
              <w:jc w:val="center"/>
              <w:textAlignment w:val="center"/>
              <w:rPr>
                <w:color w:val="000000"/>
              </w:rPr>
            </w:pPr>
            <w:r>
              <w:rPr>
                <w:rFonts w:hint="eastAsia" w:ascii="宋体" w:hAnsi="宋体" w:eastAsia="宋体" w:cs="宋体"/>
                <w:i w:val="0"/>
                <w:iCs w:val="0"/>
                <w:color w:val="000000"/>
                <w:kern w:val="0"/>
                <w:sz w:val="24"/>
                <w:szCs w:val="24"/>
                <w:u w:val="none"/>
                <w:lang w:val="en-US" w:eastAsia="zh-CN" w:bidi="ar"/>
              </w:rPr>
              <w:t>8</w:t>
            </w:r>
          </w:p>
        </w:tc>
        <w:tc>
          <w:tcPr>
            <w:tcW w:w="771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14:paraId="453FA32C">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市工业和信息化局关于下达2025年企业技术改造项目扶持计划（绿色制造试点示范奖励项目）资助计划的通知</w:t>
            </w:r>
          </w:p>
        </w:tc>
        <w:tc>
          <w:tcPr>
            <w:tcW w:w="198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14:paraId="366BD148">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2025.03.17</w:t>
            </w:r>
          </w:p>
        </w:tc>
        <w:tc>
          <w:tcPr>
            <w:tcW w:w="195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14:paraId="27426AA8">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2025.03.17</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14:paraId="7D1D1B05">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"https://gxj.sz.gov.cn/xxgk/xxgkml/zjxx/czzxzj/content/post_12074226.html"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https://gxj.sz.gov.cn/xxgk/xxgkml/zjxx/czzxzj/content/post_12074226.html</w:t>
            </w:r>
            <w:r>
              <w:rPr>
                <w:rFonts w:hint="eastAsia" w:ascii="宋体" w:hAnsi="宋体" w:eastAsia="宋体" w:cs="宋体"/>
                <w:i w:val="0"/>
                <w:iCs w:val="0"/>
                <w:kern w:val="0"/>
                <w:sz w:val="22"/>
                <w:szCs w:val="22"/>
                <w:u w:val="single"/>
                <w:lang w:val="en-US" w:eastAsia="zh-CN" w:bidi="ar"/>
              </w:rPr>
              <w:fldChar w:fldCharType="end"/>
            </w:r>
          </w:p>
        </w:tc>
      </w:tr>
      <w:tr w14:paraId="7494DBDD">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14:paraId="5A2697DE">
            <w:pPr>
              <w:keepNext w:val="0"/>
              <w:keepLines w:val="0"/>
              <w:widowControl/>
              <w:suppressLineNumbers w:val="0"/>
              <w:jc w:val="center"/>
              <w:textAlignment w:val="center"/>
              <w:rPr>
                <w:color w:val="000000"/>
              </w:rPr>
            </w:pPr>
            <w:r>
              <w:rPr>
                <w:rFonts w:hint="eastAsia" w:ascii="宋体" w:hAnsi="宋体" w:eastAsia="宋体" w:cs="宋体"/>
                <w:i w:val="0"/>
                <w:iCs w:val="0"/>
                <w:color w:val="000000"/>
                <w:kern w:val="0"/>
                <w:sz w:val="24"/>
                <w:szCs w:val="24"/>
                <w:u w:val="none"/>
                <w:lang w:val="en-US" w:eastAsia="zh-CN" w:bidi="ar"/>
              </w:rPr>
              <w:t>9</w:t>
            </w:r>
          </w:p>
        </w:tc>
        <w:tc>
          <w:tcPr>
            <w:tcW w:w="771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14:paraId="4C975C12">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市场监管总局出台国家级资质认定检验检测机构信用风险分类管理规范（附一图读懂）</w:t>
            </w:r>
          </w:p>
        </w:tc>
        <w:tc>
          <w:tcPr>
            <w:tcW w:w="198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14:paraId="1B83A2A6">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2025.03.18</w:t>
            </w:r>
          </w:p>
        </w:tc>
        <w:tc>
          <w:tcPr>
            <w:tcW w:w="1950"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14:paraId="1998BC97">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2025.03.18</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14:paraId="103E5781">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"http://scjgj.quanzhou.gov.cn/xxgk/flfg/202503/t20250318_3149872.htm"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http://scjgj.quanzhou.gov.cn/xxgk/flfg/202503/t20250318_3149872.htm</w:t>
            </w:r>
            <w:r>
              <w:rPr>
                <w:rFonts w:hint="eastAsia" w:ascii="宋体" w:hAnsi="宋体" w:eastAsia="宋体" w:cs="宋体"/>
                <w:i w:val="0"/>
                <w:iCs w:val="0"/>
                <w:kern w:val="0"/>
                <w:sz w:val="22"/>
                <w:szCs w:val="22"/>
                <w:u w:val="single"/>
                <w:lang w:val="en-US" w:eastAsia="zh-CN" w:bidi="ar"/>
              </w:rPr>
              <w:fldChar w:fldCharType="end"/>
            </w:r>
          </w:p>
        </w:tc>
      </w:tr>
      <w:tr w14:paraId="08C51A33">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14:paraId="10C4B2B1">
            <w:pPr>
              <w:keepNext w:val="0"/>
              <w:keepLines w:val="0"/>
              <w:widowControl/>
              <w:suppressLineNumbers w:val="0"/>
              <w:jc w:val="center"/>
              <w:textAlignment w:val="center"/>
              <w:rPr>
                <w:color w:val="000000"/>
              </w:rPr>
            </w:pPr>
            <w:r>
              <w:rPr>
                <w:rFonts w:hint="eastAsia" w:ascii="宋体" w:hAnsi="宋体" w:eastAsia="宋体" w:cs="宋体"/>
                <w:i w:val="0"/>
                <w:iCs w:val="0"/>
                <w:color w:val="000000"/>
                <w:kern w:val="0"/>
                <w:sz w:val="24"/>
                <w:szCs w:val="24"/>
                <w:u w:val="none"/>
                <w:lang w:val="en-US" w:eastAsia="zh-CN" w:bidi="ar"/>
              </w:rPr>
              <w:t>10</w:t>
            </w:r>
          </w:p>
        </w:tc>
        <w:tc>
          <w:tcPr>
            <w:tcW w:w="771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14:paraId="4D35972B">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深圳发布常见安全风险目录</w:t>
            </w:r>
          </w:p>
        </w:tc>
        <w:tc>
          <w:tcPr>
            <w:tcW w:w="198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14:paraId="3CE58291">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2025.03.18</w:t>
            </w:r>
          </w:p>
        </w:tc>
        <w:tc>
          <w:tcPr>
            <w:tcW w:w="195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14:paraId="3494567F">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2025.03.18</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14:paraId="668B5E3B">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"https://yjgl.sz.gov.cn/yjgl/zhjg/yjhyfxx/content/post_12077721.html"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https://yjgl.sz.gov.cn/yjgl/zhjg/yjhyfxx/content/post_12077721.html</w:t>
            </w:r>
            <w:r>
              <w:rPr>
                <w:rFonts w:hint="eastAsia" w:ascii="宋体" w:hAnsi="宋体" w:eastAsia="宋体" w:cs="宋体"/>
                <w:i w:val="0"/>
                <w:iCs w:val="0"/>
                <w:kern w:val="0"/>
                <w:sz w:val="22"/>
                <w:szCs w:val="22"/>
                <w:u w:val="single"/>
                <w:lang w:val="en-US" w:eastAsia="zh-CN" w:bidi="ar"/>
              </w:rPr>
              <w:fldChar w:fldCharType="end"/>
            </w:r>
          </w:p>
        </w:tc>
      </w:tr>
      <w:tr w14:paraId="7A488ADF">
        <w:tblPrEx>
          <w:tblCellMar>
            <w:top w:w="0" w:type="dxa"/>
            <w:left w:w="0" w:type="dxa"/>
            <w:bottom w:w="0" w:type="dxa"/>
            <w:right w:w="0" w:type="dxa"/>
          </w:tblCellMar>
        </w:tblPrEx>
        <w:trPr>
          <w:hidden/>
        </w:trPr>
        <w:tc>
          <w:tcPr>
            <w:tcW w:w="1012" w:type="dxa"/>
            <w:tcBorders>
              <w:top w:val="nil"/>
              <w:left w:val="nil"/>
              <w:bottom w:val="nil"/>
              <w:right w:val="nil"/>
            </w:tcBorders>
            <w:shd w:val="clear" w:color="auto" w:fill="auto"/>
            <w:noWrap/>
            <w:tcMar>
              <w:top w:w="15" w:type="dxa"/>
              <w:left w:w="15" w:type="dxa"/>
              <w:bottom w:w="0" w:type="dxa"/>
              <w:right w:w="15" w:type="dxa"/>
            </w:tcMar>
            <w:vAlign w:val="center"/>
          </w:tcPr>
          <w:p w14:paraId="1D2F3CBD">
            <w:pPr>
              <w:rPr>
                <w:vanish/>
                <w:color w:val="000000"/>
                <w:sz w:val="22"/>
                <w:szCs w:val="22"/>
              </w:rPr>
            </w:pPr>
          </w:p>
        </w:tc>
        <w:tc>
          <w:tcPr>
            <w:tcW w:w="7718" w:type="dxa"/>
            <w:tcBorders>
              <w:top w:val="nil"/>
              <w:left w:val="nil"/>
              <w:bottom w:val="nil"/>
              <w:right w:val="nil"/>
            </w:tcBorders>
            <w:shd w:val="clear" w:color="auto" w:fill="auto"/>
            <w:noWrap/>
            <w:tcMar>
              <w:top w:w="15" w:type="dxa"/>
              <w:left w:w="15" w:type="dxa"/>
              <w:bottom w:w="0" w:type="dxa"/>
              <w:right w:w="15" w:type="dxa"/>
            </w:tcMar>
            <w:vAlign w:val="center"/>
          </w:tcPr>
          <w:p w14:paraId="11E7EB2D">
            <w:pPr>
              <w:rPr>
                <w:vanish/>
                <w:color w:val="000000"/>
                <w:sz w:val="22"/>
                <w:szCs w:val="22"/>
              </w:rPr>
            </w:pPr>
          </w:p>
        </w:tc>
        <w:tc>
          <w:tcPr>
            <w:tcW w:w="1988" w:type="dxa"/>
            <w:tcBorders>
              <w:top w:val="nil"/>
              <w:left w:val="nil"/>
              <w:bottom w:val="nil"/>
              <w:right w:val="nil"/>
            </w:tcBorders>
            <w:shd w:val="clear" w:color="auto" w:fill="auto"/>
            <w:noWrap/>
            <w:tcMar>
              <w:top w:w="15" w:type="dxa"/>
              <w:left w:w="15" w:type="dxa"/>
              <w:bottom w:w="0" w:type="dxa"/>
              <w:right w:w="15" w:type="dxa"/>
            </w:tcMar>
            <w:vAlign w:val="center"/>
          </w:tcPr>
          <w:p w14:paraId="29A67271">
            <w:pPr>
              <w:rPr>
                <w:vanish/>
                <w:color w:val="000000"/>
                <w:sz w:val="22"/>
                <w:szCs w:val="22"/>
              </w:rPr>
            </w:pPr>
          </w:p>
        </w:tc>
        <w:tc>
          <w:tcPr>
            <w:tcW w:w="1950" w:type="dxa"/>
            <w:tcBorders>
              <w:top w:val="nil"/>
              <w:left w:val="nil"/>
              <w:bottom w:val="nil"/>
              <w:right w:val="nil"/>
            </w:tcBorders>
            <w:shd w:val="clear" w:color="auto" w:fill="auto"/>
            <w:noWrap/>
            <w:tcMar>
              <w:top w:w="15" w:type="dxa"/>
              <w:left w:w="15" w:type="dxa"/>
              <w:bottom w:w="0" w:type="dxa"/>
              <w:right w:w="15" w:type="dxa"/>
            </w:tcMar>
            <w:vAlign w:val="center"/>
          </w:tcPr>
          <w:p w14:paraId="47836AC0">
            <w:pPr>
              <w:rPr>
                <w:vanish/>
                <w:color w:val="000000"/>
                <w:sz w:val="22"/>
                <w:szCs w:val="22"/>
              </w:rPr>
            </w:pPr>
          </w:p>
        </w:tc>
        <w:tc>
          <w:tcPr>
            <w:tcW w:w="11644" w:type="dxa"/>
            <w:tcBorders>
              <w:top w:val="nil"/>
              <w:left w:val="nil"/>
              <w:bottom w:val="nil"/>
              <w:right w:val="nil"/>
            </w:tcBorders>
            <w:shd w:val="clear" w:color="auto" w:fill="auto"/>
            <w:noWrap/>
            <w:tcMar>
              <w:top w:w="15" w:type="dxa"/>
              <w:left w:w="15" w:type="dxa"/>
              <w:bottom w:w="0" w:type="dxa"/>
              <w:right w:w="15" w:type="dxa"/>
            </w:tcMar>
            <w:vAlign w:val="center"/>
          </w:tcPr>
          <w:p w14:paraId="6B414E1D">
            <w:pPr>
              <w:rPr>
                <w:vanish/>
                <w:color w:val="000000"/>
                <w:sz w:val="22"/>
                <w:szCs w:val="22"/>
              </w:rPr>
            </w:pPr>
          </w:p>
        </w:tc>
      </w:tr>
      <w:tr w14:paraId="5C280877">
        <w:tblPrEx>
          <w:tblCellMar>
            <w:top w:w="0" w:type="dxa"/>
            <w:left w:w="0" w:type="dxa"/>
            <w:bottom w:w="0" w:type="dxa"/>
            <w:right w:w="0" w:type="dxa"/>
          </w:tblCellMar>
        </w:tblPrEx>
        <w:trPr>
          <w:hidden/>
        </w:trPr>
        <w:tc>
          <w:tcPr>
            <w:tcW w:w="1012" w:type="dxa"/>
            <w:tcBorders>
              <w:top w:val="nil"/>
              <w:left w:val="nil"/>
              <w:bottom w:val="nil"/>
              <w:right w:val="nil"/>
            </w:tcBorders>
            <w:shd w:val="clear" w:color="auto" w:fill="auto"/>
            <w:noWrap/>
            <w:tcMar>
              <w:top w:w="15" w:type="dxa"/>
              <w:left w:w="15" w:type="dxa"/>
              <w:bottom w:w="0" w:type="dxa"/>
              <w:right w:w="15" w:type="dxa"/>
            </w:tcMar>
            <w:vAlign w:val="center"/>
          </w:tcPr>
          <w:p w14:paraId="268AD7CC">
            <w:pPr>
              <w:rPr>
                <w:vanish/>
                <w:color w:val="000000"/>
                <w:sz w:val="22"/>
                <w:szCs w:val="22"/>
              </w:rPr>
            </w:pPr>
          </w:p>
        </w:tc>
        <w:tc>
          <w:tcPr>
            <w:tcW w:w="7718" w:type="dxa"/>
            <w:tcBorders>
              <w:top w:val="nil"/>
              <w:left w:val="nil"/>
              <w:bottom w:val="nil"/>
              <w:right w:val="nil"/>
            </w:tcBorders>
            <w:shd w:val="clear" w:color="auto" w:fill="auto"/>
            <w:noWrap/>
            <w:tcMar>
              <w:top w:w="15" w:type="dxa"/>
              <w:left w:w="15" w:type="dxa"/>
              <w:bottom w:w="0" w:type="dxa"/>
              <w:right w:w="15" w:type="dxa"/>
            </w:tcMar>
            <w:vAlign w:val="center"/>
          </w:tcPr>
          <w:p w14:paraId="5EF75C01">
            <w:pPr>
              <w:rPr>
                <w:vanish/>
                <w:color w:val="000000"/>
                <w:sz w:val="22"/>
                <w:szCs w:val="22"/>
              </w:rPr>
            </w:pPr>
          </w:p>
        </w:tc>
        <w:tc>
          <w:tcPr>
            <w:tcW w:w="1988" w:type="dxa"/>
            <w:tcBorders>
              <w:top w:val="nil"/>
              <w:left w:val="nil"/>
              <w:bottom w:val="nil"/>
              <w:right w:val="nil"/>
            </w:tcBorders>
            <w:shd w:val="clear" w:color="auto" w:fill="auto"/>
            <w:noWrap/>
            <w:tcMar>
              <w:top w:w="15" w:type="dxa"/>
              <w:left w:w="15" w:type="dxa"/>
              <w:bottom w:w="0" w:type="dxa"/>
              <w:right w:w="15" w:type="dxa"/>
            </w:tcMar>
            <w:vAlign w:val="center"/>
          </w:tcPr>
          <w:p w14:paraId="53962396">
            <w:pPr>
              <w:rPr>
                <w:vanish/>
                <w:color w:val="000000"/>
                <w:sz w:val="22"/>
                <w:szCs w:val="22"/>
              </w:rPr>
            </w:pPr>
          </w:p>
        </w:tc>
        <w:tc>
          <w:tcPr>
            <w:tcW w:w="1950" w:type="dxa"/>
            <w:tcBorders>
              <w:top w:val="nil"/>
              <w:left w:val="nil"/>
              <w:bottom w:val="nil"/>
              <w:right w:val="nil"/>
            </w:tcBorders>
            <w:shd w:val="clear" w:color="auto" w:fill="auto"/>
            <w:noWrap/>
            <w:tcMar>
              <w:top w:w="15" w:type="dxa"/>
              <w:left w:w="15" w:type="dxa"/>
              <w:bottom w:w="0" w:type="dxa"/>
              <w:right w:w="15" w:type="dxa"/>
            </w:tcMar>
            <w:vAlign w:val="center"/>
          </w:tcPr>
          <w:p w14:paraId="14F9D690">
            <w:pPr>
              <w:rPr>
                <w:vanish/>
                <w:color w:val="000000"/>
                <w:sz w:val="22"/>
                <w:szCs w:val="22"/>
              </w:rPr>
            </w:pPr>
          </w:p>
        </w:tc>
        <w:tc>
          <w:tcPr>
            <w:tcW w:w="11644" w:type="dxa"/>
            <w:tcBorders>
              <w:top w:val="nil"/>
              <w:left w:val="nil"/>
              <w:bottom w:val="nil"/>
              <w:right w:val="nil"/>
            </w:tcBorders>
            <w:shd w:val="clear" w:color="auto" w:fill="auto"/>
            <w:noWrap/>
            <w:tcMar>
              <w:top w:w="15" w:type="dxa"/>
              <w:left w:w="15" w:type="dxa"/>
              <w:bottom w:w="0" w:type="dxa"/>
              <w:right w:w="15" w:type="dxa"/>
            </w:tcMar>
            <w:vAlign w:val="center"/>
          </w:tcPr>
          <w:p w14:paraId="21741F79">
            <w:pPr>
              <w:rPr>
                <w:vanish/>
                <w:color w:val="000000"/>
                <w:sz w:val="22"/>
                <w:szCs w:val="22"/>
              </w:rPr>
            </w:pPr>
          </w:p>
        </w:tc>
      </w:tr>
      <w:tr w14:paraId="771AFEF5">
        <w:tblPrEx>
          <w:tblCellMar>
            <w:top w:w="0" w:type="dxa"/>
            <w:left w:w="0" w:type="dxa"/>
            <w:bottom w:w="0" w:type="dxa"/>
            <w:right w:w="0" w:type="dxa"/>
          </w:tblCellMar>
        </w:tblPrEx>
        <w:trPr>
          <w:hidden/>
        </w:trPr>
        <w:tc>
          <w:tcPr>
            <w:tcW w:w="1012" w:type="dxa"/>
            <w:tcBorders>
              <w:top w:val="nil"/>
              <w:left w:val="nil"/>
              <w:bottom w:val="nil"/>
              <w:right w:val="nil"/>
            </w:tcBorders>
            <w:shd w:val="clear" w:color="auto" w:fill="auto"/>
            <w:noWrap/>
            <w:tcMar>
              <w:top w:w="15" w:type="dxa"/>
              <w:left w:w="15" w:type="dxa"/>
              <w:bottom w:w="0" w:type="dxa"/>
              <w:right w:w="15" w:type="dxa"/>
            </w:tcMar>
            <w:vAlign w:val="center"/>
          </w:tcPr>
          <w:p w14:paraId="50348C94">
            <w:pPr>
              <w:rPr>
                <w:vanish/>
                <w:color w:val="000000"/>
                <w:sz w:val="22"/>
                <w:szCs w:val="22"/>
              </w:rPr>
            </w:pPr>
          </w:p>
        </w:tc>
        <w:tc>
          <w:tcPr>
            <w:tcW w:w="7718" w:type="dxa"/>
            <w:tcBorders>
              <w:top w:val="nil"/>
              <w:left w:val="nil"/>
              <w:bottom w:val="nil"/>
              <w:right w:val="nil"/>
            </w:tcBorders>
            <w:shd w:val="clear" w:color="auto" w:fill="auto"/>
            <w:noWrap/>
            <w:tcMar>
              <w:top w:w="15" w:type="dxa"/>
              <w:left w:w="15" w:type="dxa"/>
              <w:bottom w:w="0" w:type="dxa"/>
              <w:right w:w="15" w:type="dxa"/>
            </w:tcMar>
            <w:vAlign w:val="center"/>
          </w:tcPr>
          <w:p w14:paraId="13165CED">
            <w:pPr>
              <w:rPr>
                <w:vanish/>
                <w:color w:val="000000"/>
                <w:sz w:val="22"/>
                <w:szCs w:val="22"/>
              </w:rPr>
            </w:pPr>
          </w:p>
        </w:tc>
        <w:tc>
          <w:tcPr>
            <w:tcW w:w="1988" w:type="dxa"/>
            <w:tcBorders>
              <w:top w:val="nil"/>
              <w:left w:val="nil"/>
              <w:bottom w:val="nil"/>
              <w:right w:val="nil"/>
            </w:tcBorders>
            <w:shd w:val="clear" w:color="auto" w:fill="auto"/>
            <w:noWrap/>
            <w:tcMar>
              <w:top w:w="15" w:type="dxa"/>
              <w:left w:w="15" w:type="dxa"/>
              <w:bottom w:w="0" w:type="dxa"/>
              <w:right w:w="15" w:type="dxa"/>
            </w:tcMar>
            <w:vAlign w:val="center"/>
          </w:tcPr>
          <w:p w14:paraId="77A7E299">
            <w:pPr>
              <w:rPr>
                <w:vanish/>
                <w:color w:val="000000"/>
                <w:sz w:val="22"/>
                <w:szCs w:val="22"/>
              </w:rPr>
            </w:pPr>
          </w:p>
        </w:tc>
        <w:tc>
          <w:tcPr>
            <w:tcW w:w="1950" w:type="dxa"/>
            <w:tcBorders>
              <w:top w:val="nil"/>
              <w:left w:val="nil"/>
              <w:bottom w:val="nil"/>
              <w:right w:val="nil"/>
            </w:tcBorders>
            <w:shd w:val="clear" w:color="auto" w:fill="auto"/>
            <w:noWrap/>
            <w:tcMar>
              <w:top w:w="15" w:type="dxa"/>
              <w:left w:w="15" w:type="dxa"/>
              <w:bottom w:w="0" w:type="dxa"/>
              <w:right w:w="15" w:type="dxa"/>
            </w:tcMar>
            <w:vAlign w:val="center"/>
          </w:tcPr>
          <w:p w14:paraId="1F6D3523">
            <w:pPr>
              <w:rPr>
                <w:vanish/>
                <w:color w:val="000000"/>
                <w:sz w:val="22"/>
                <w:szCs w:val="22"/>
              </w:rPr>
            </w:pPr>
          </w:p>
        </w:tc>
        <w:tc>
          <w:tcPr>
            <w:tcW w:w="11644" w:type="dxa"/>
            <w:tcBorders>
              <w:top w:val="nil"/>
              <w:left w:val="nil"/>
              <w:bottom w:val="nil"/>
              <w:right w:val="nil"/>
            </w:tcBorders>
            <w:shd w:val="clear" w:color="auto" w:fill="auto"/>
            <w:noWrap/>
            <w:tcMar>
              <w:top w:w="15" w:type="dxa"/>
              <w:left w:w="15" w:type="dxa"/>
              <w:bottom w:w="0" w:type="dxa"/>
              <w:right w:w="15" w:type="dxa"/>
            </w:tcMar>
            <w:vAlign w:val="center"/>
          </w:tcPr>
          <w:p w14:paraId="0D6B9A22">
            <w:pPr>
              <w:rPr>
                <w:vanish/>
                <w:color w:val="000000"/>
                <w:sz w:val="22"/>
                <w:szCs w:val="22"/>
              </w:rPr>
            </w:pPr>
          </w:p>
        </w:tc>
      </w:tr>
      <w:tr w14:paraId="442A3D03">
        <w:tblPrEx>
          <w:tblCellMar>
            <w:top w:w="0" w:type="dxa"/>
            <w:left w:w="0" w:type="dxa"/>
            <w:bottom w:w="0" w:type="dxa"/>
            <w:right w:w="0" w:type="dxa"/>
          </w:tblCellMar>
        </w:tblPrEx>
        <w:trPr>
          <w:hidden/>
        </w:trPr>
        <w:tc>
          <w:tcPr>
            <w:tcW w:w="1012" w:type="dxa"/>
            <w:tcBorders>
              <w:top w:val="nil"/>
              <w:left w:val="nil"/>
              <w:bottom w:val="nil"/>
              <w:right w:val="nil"/>
            </w:tcBorders>
            <w:shd w:val="clear" w:color="auto" w:fill="auto"/>
            <w:noWrap/>
            <w:tcMar>
              <w:top w:w="15" w:type="dxa"/>
              <w:left w:w="15" w:type="dxa"/>
              <w:bottom w:w="0" w:type="dxa"/>
              <w:right w:w="15" w:type="dxa"/>
            </w:tcMar>
            <w:vAlign w:val="center"/>
          </w:tcPr>
          <w:p w14:paraId="0306C34A">
            <w:pPr>
              <w:rPr>
                <w:vanish/>
                <w:color w:val="000000"/>
                <w:sz w:val="22"/>
                <w:szCs w:val="22"/>
              </w:rPr>
            </w:pPr>
          </w:p>
        </w:tc>
        <w:tc>
          <w:tcPr>
            <w:tcW w:w="7718" w:type="dxa"/>
            <w:tcBorders>
              <w:top w:val="nil"/>
              <w:left w:val="nil"/>
              <w:bottom w:val="nil"/>
              <w:right w:val="nil"/>
            </w:tcBorders>
            <w:shd w:val="clear" w:color="auto" w:fill="auto"/>
            <w:noWrap/>
            <w:tcMar>
              <w:top w:w="15" w:type="dxa"/>
              <w:left w:w="15" w:type="dxa"/>
              <w:bottom w:w="0" w:type="dxa"/>
              <w:right w:w="15" w:type="dxa"/>
            </w:tcMar>
            <w:vAlign w:val="center"/>
          </w:tcPr>
          <w:p w14:paraId="6CC77F5E">
            <w:pPr>
              <w:rPr>
                <w:vanish/>
                <w:color w:val="000000"/>
                <w:sz w:val="22"/>
                <w:szCs w:val="22"/>
              </w:rPr>
            </w:pPr>
          </w:p>
        </w:tc>
        <w:tc>
          <w:tcPr>
            <w:tcW w:w="1988" w:type="dxa"/>
            <w:tcBorders>
              <w:top w:val="nil"/>
              <w:left w:val="nil"/>
              <w:bottom w:val="nil"/>
              <w:right w:val="nil"/>
            </w:tcBorders>
            <w:shd w:val="clear" w:color="auto" w:fill="auto"/>
            <w:noWrap/>
            <w:tcMar>
              <w:top w:w="15" w:type="dxa"/>
              <w:left w:w="15" w:type="dxa"/>
              <w:bottom w:w="0" w:type="dxa"/>
              <w:right w:w="15" w:type="dxa"/>
            </w:tcMar>
            <w:vAlign w:val="center"/>
          </w:tcPr>
          <w:p w14:paraId="7CBA4AFD">
            <w:pPr>
              <w:rPr>
                <w:vanish/>
                <w:color w:val="000000"/>
                <w:sz w:val="22"/>
                <w:szCs w:val="22"/>
              </w:rPr>
            </w:pPr>
          </w:p>
        </w:tc>
        <w:tc>
          <w:tcPr>
            <w:tcW w:w="1950" w:type="dxa"/>
            <w:tcBorders>
              <w:top w:val="nil"/>
              <w:left w:val="nil"/>
              <w:bottom w:val="nil"/>
              <w:right w:val="nil"/>
            </w:tcBorders>
            <w:shd w:val="clear" w:color="auto" w:fill="auto"/>
            <w:noWrap/>
            <w:tcMar>
              <w:top w:w="15" w:type="dxa"/>
              <w:left w:w="15" w:type="dxa"/>
              <w:bottom w:w="0" w:type="dxa"/>
              <w:right w:w="15" w:type="dxa"/>
            </w:tcMar>
            <w:vAlign w:val="center"/>
          </w:tcPr>
          <w:p w14:paraId="7BB81A6B">
            <w:pPr>
              <w:rPr>
                <w:vanish/>
                <w:color w:val="000000"/>
                <w:sz w:val="22"/>
                <w:szCs w:val="22"/>
              </w:rPr>
            </w:pPr>
          </w:p>
        </w:tc>
        <w:tc>
          <w:tcPr>
            <w:tcW w:w="11644" w:type="dxa"/>
            <w:tcBorders>
              <w:top w:val="nil"/>
              <w:left w:val="nil"/>
              <w:bottom w:val="nil"/>
              <w:right w:val="nil"/>
            </w:tcBorders>
            <w:shd w:val="clear" w:color="auto" w:fill="auto"/>
            <w:noWrap/>
            <w:tcMar>
              <w:top w:w="15" w:type="dxa"/>
              <w:left w:w="15" w:type="dxa"/>
              <w:bottom w:w="0" w:type="dxa"/>
              <w:right w:w="15" w:type="dxa"/>
            </w:tcMar>
            <w:vAlign w:val="center"/>
          </w:tcPr>
          <w:p w14:paraId="58011AC3">
            <w:pPr>
              <w:rPr>
                <w:vanish/>
                <w:color w:val="000000"/>
                <w:sz w:val="22"/>
                <w:szCs w:val="22"/>
              </w:rPr>
            </w:pPr>
          </w:p>
        </w:tc>
      </w:tr>
      <w:tr w14:paraId="1CFC61EF">
        <w:tblPrEx>
          <w:tblCellMar>
            <w:top w:w="0" w:type="dxa"/>
            <w:left w:w="0" w:type="dxa"/>
            <w:bottom w:w="0" w:type="dxa"/>
            <w:right w:w="0" w:type="dxa"/>
          </w:tblCellMar>
        </w:tblPrEx>
        <w:trPr>
          <w:hidden/>
        </w:trPr>
        <w:tc>
          <w:tcPr>
            <w:tcW w:w="1012" w:type="dxa"/>
            <w:tcBorders>
              <w:top w:val="nil"/>
              <w:left w:val="nil"/>
              <w:bottom w:val="nil"/>
              <w:right w:val="nil"/>
            </w:tcBorders>
            <w:shd w:val="clear" w:color="auto" w:fill="auto"/>
            <w:noWrap/>
            <w:tcMar>
              <w:top w:w="15" w:type="dxa"/>
              <w:left w:w="15" w:type="dxa"/>
              <w:bottom w:w="0" w:type="dxa"/>
              <w:right w:w="15" w:type="dxa"/>
            </w:tcMar>
            <w:vAlign w:val="center"/>
          </w:tcPr>
          <w:p w14:paraId="535D6539">
            <w:pPr>
              <w:rPr>
                <w:vanish/>
                <w:color w:val="000000"/>
                <w:sz w:val="22"/>
                <w:szCs w:val="22"/>
              </w:rPr>
            </w:pPr>
          </w:p>
        </w:tc>
        <w:tc>
          <w:tcPr>
            <w:tcW w:w="7718" w:type="dxa"/>
            <w:tcBorders>
              <w:top w:val="nil"/>
              <w:left w:val="nil"/>
              <w:bottom w:val="nil"/>
              <w:right w:val="nil"/>
            </w:tcBorders>
            <w:shd w:val="clear" w:color="auto" w:fill="auto"/>
            <w:noWrap/>
            <w:tcMar>
              <w:top w:w="15" w:type="dxa"/>
              <w:left w:w="15" w:type="dxa"/>
              <w:bottom w:w="0" w:type="dxa"/>
              <w:right w:w="15" w:type="dxa"/>
            </w:tcMar>
            <w:vAlign w:val="center"/>
          </w:tcPr>
          <w:p w14:paraId="452B615D">
            <w:pPr>
              <w:rPr>
                <w:vanish/>
                <w:color w:val="000000"/>
                <w:sz w:val="22"/>
                <w:szCs w:val="22"/>
              </w:rPr>
            </w:pPr>
          </w:p>
        </w:tc>
        <w:tc>
          <w:tcPr>
            <w:tcW w:w="1988" w:type="dxa"/>
            <w:tcBorders>
              <w:top w:val="nil"/>
              <w:left w:val="nil"/>
              <w:bottom w:val="nil"/>
              <w:right w:val="nil"/>
            </w:tcBorders>
            <w:shd w:val="clear" w:color="auto" w:fill="auto"/>
            <w:noWrap/>
            <w:tcMar>
              <w:top w:w="15" w:type="dxa"/>
              <w:left w:w="15" w:type="dxa"/>
              <w:bottom w:w="0" w:type="dxa"/>
              <w:right w:w="15" w:type="dxa"/>
            </w:tcMar>
            <w:vAlign w:val="center"/>
          </w:tcPr>
          <w:p w14:paraId="218BCA30">
            <w:pPr>
              <w:rPr>
                <w:vanish/>
                <w:color w:val="000000"/>
                <w:sz w:val="22"/>
                <w:szCs w:val="22"/>
              </w:rPr>
            </w:pPr>
          </w:p>
        </w:tc>
        <w:tc>
          <w:tcPr>
            <w:tcW w:w="1950" w:type="dxa"/>
            <w:tcBorders>
              <w:top w:val="nil"/>
              <w:left w:val="nil"/>
              <w:bottom w:val="nil"/>
              <w:right w:val="nil"/>
            </w:tcBorders>
            <w:shd w:val="clear" w:color="auto" w:fill="auto"/>
            <w:noWrap/>
            <w:tcMar>
              <w:top w:w="15" w:type="dxa"/>
              <w:left w:w="15" w:type="dxa"/>
              <w:bottom w:w="0" w:type="dxa"/>
              <w:right w:w="15" w:type="dxa"/>
            </w:tcMar>
            <w:vAlign w:val="center"/>
          </w:tcPr>
          <w:p w14:paraId="5337D8A2">
            <w:pPr>
              <w:rPr>
                <w:vanish/>
                <w:color w:val="000000"/>
                <w:sz w:val="22"/>
                <w:szCs w:val="22"/>
              </w:rPr>
            </w:pPr>
          </w:p>
        </w:tc>
        <w:tc>
          <w:tcPr>
            <w:tcW w:w="11644" w:type="dxa"/>
            <w:tcBorders>
              <w:top w:val="nil"/>
              <w:left w:val="nil"/>
              <w:bottom w:val="nil"/>
              <w:right w:val="nil"/>
            </w:tcBorders>
            <w:shd w:val="clear" w:color="auto" w:fill="auto"/>
            <w:noWrap/>
            <w:tcMar>
              <w:top w:w="15" w:type="dxa"/>
              <w:left w:w="15" w:type="dxa"/>
              <w:bottom w:w="0" w:type="dxa"/>
              <w:right w:w="15" w:type="dxa"/>
            </w:tcMar>
            <w:vAlign w:val="center"/>
          </w:tcPr>
          <w:p w14:paraId="73B99AB2">
            <w:pPr>
              <w:rPr>
                <w:vanish/>
                <w:color w:val="000000"/>
                <w:sz w:val="22"/>
                <w:szCs w:val="22"/>
              </w:rPr>
            </w:pPr>
          </w:p>
        </w:tc>
      </w:tr>
      <w:tr w14:paraId="10CADA16">
        <w:tblPrEx>
          <w:tblCellMar>
            <w:top w:w="0" w:type="dxa"/>
            <w:left w:w="0" w:type="dxa"/>
            <w:bottom w:w="0" w:type="dxa"/>
            <w:right w:w="0" w:type="dxa"/>
          </w:tblCellMar>
        </w:tblPrEx>
        <w:trPr>
          <w:hidden/>
        </w:trPr>
        <w:tc>
          <w:tcPr>
            <w:tcW w:w="1012" w:type="dxa"/>
            <w:tcBorders>
              <w:top w:val="nil"/>
              <w:left w:val="nil"/>
              <w:bottom w:val="nil"/>
              <w:right w:val="nil"/>
            </w:tcBorders>
            <w:shd w:val="clear" w:color="auto" w:fill="auto"/>
            <w:noWrap/>
            <w:tcMar>
              <w:top w:w="15" w:type="dxa"/>
              <w:left w:w="15" w:type="dxa"/>
              <w:bottom w:w="0" w:type="dxa"/>
              <w:right w:w="15" w:type="dxa"/>
            </w:tcMar>
            <w:vAlign w:val="center"/>
          </w:tcPr>
          <w:p w14:paraId="64980E51">
            <w:pPr>
              <w:rPr>
                <w:vanish/>
                <w:color w:val="000000"/>
                <w:sz w:val="22"/>
                <w:szCs w:val="22"/>
              </w:rPr>
            </w:pPr>
          </w:p>
        </w:tc>
        <w:tc>
          <w:tcPr>
            <w:tcW w:w="7718" w:type="dxa"/>
            <w:tcBorders>
              <w:top w:val="nil"/>
              <w:left w:val="nil"/>
              <w:bottom w:val="nil"/>
              <w:right w:val="nil"/>
            </w:tcBorders>
            <w:shd w:val="clear" w:color="auto" w:fill="auto"/>
            <w:noWrap/>
            <w:tcMar>
              <w:top w:w="15" w:type="dxa"/>
              <w:left w:w="15" w:type="dxa"/>
              <w:bottom w:w="0" w:type="dxa"/>
              <w:right w:w="15" w:type="dxa"/>
            </w:tcMar>
            <w:vAlign w:val="center"/>
          </w:tcPr>
          <w:p w14:paraId="211A7AC2">
            <w:pPr>
              <w:rPr>
                <w:vanish/>
                <w:color w:val="000000"/>
                <w:sz w:val="22"/>
                <w:szCs w:val="22"/>
              </w:rPr>
            </w:pPr>
          </w:p>
        </w:tc>
        <w:tc>
          <w:tcPr>
            <w:tcW w:w="1988" w:type="dxa"/>
            <w:tcBorders>
              <w:top w:val="nil"/>
              <w:left w:val="nil"/>
              <w:bottom w:val="nil"/>
              <w:right w:val="nil"/>
            </w:tcBorders>
            <w:shd w:val="clear" w:color="auto" w:fill="auto"/>
            <w:noWrap/>
            <w:tcMar>
              <w:top w:w="15" w:type="dxa"/>
              <w:left w:w="15" w:type="dxa"/>
              <w:bottom w:w="0" w:type="dxa"/>
              <w:right w:w="15" w:type="dxa"/>
            </w:tcMar>
            <w:vAlign w:val="center"/>
          </w:tcPr>
          <w:p w14:paraId="582A1BCB">
            <w:pPr>
              <w:rPr>
                <w:vanish/>
                <w:color w:val="000000"/>
                <w:sz w:val="22"/>
                <w:szCs w:val="22"/>
              </w:rPr>
            </w:pPr>
          </w:p>
        </w:tc>
        <w:tc>
          <w:tcPr>
            <w:tcW w:w="1950" w:type="dxa"/>
            <w:tcBorders>
              <w:top w:val="nil"/>
              <w:left w:val="nil"/>
              <w:bottom w:val="nil"/>
              <w:right w:val="nil"/>
            </w:tcBorders>
            <w:shd w:val="clear" w:color="auto" w:fill="auto"/>
            <w:noWrap/>
            <w:tcMar>
              <w:top w:w="15" w:type="dxa"/>
              <w:left w:w="15" w:type="dxa"/>
              <w:bottom w:w="0" w:type="dxa"/>
              <w:right w:w="15" w:type="dxa"/>
            </w:tcMar>
            <w:vAlign w:val="center"/>
          </w:tcPr>
          <w:p w14:paraId="365087A6">
            <w:pPr>
              <w:rPr>
                <w:vanish/>
                <w:color w:val="000000"/>
                <w:sz w:val="22"/>
                <w:szCs w:val="22"/>
              </w:rPr>
            </w:pPr>
          </w:p>
        </w:tc>
        <w:tc>
          <w:tcPr>
            <w:tcW w:w="11644" w:type="dxa"/>
            <w:tcBorders>
              <w:top w:val="nil"/>
              <w:left w:val="nil"/>
              <w:bottom w:val="nil"/>
              <w:right w:val="nil"/>
            </w:tcBorders>
            <w:shd w:val="clear" w:color="auto" w:fill="auto"/>
            <w:noWrap/>
            <w:tcMar>
              <w:top w:w="15" w:type="dxa"/>
              <w:left w:w="15" w:type="dxa"/>
              <w:bottom w:w="0" w:type="dxa"/>
              <w:right w:w="15" w:type="dxa"/>
            </w:tcMar>
            <w:vAlign w:val="center"/>
          </w:tcPr>
          <w:p w14:paraId="6FD34C5E">
            <w:pPr>
              <w:rPr>
                <w:vanish/>
                <w:color w:val="000000"/>
                <w:sz w:val="22"/>
                <w:szCs w:val="22"/>
              </w:rPr>
            </w:pPr>
          </w:p>
        </w:tc>
      </w:tr>
      <w:tr w14:paraId="16B8BE16">
        <w:tblPrEx>
          <w:tblCellMar>
            <w:top w:w="0" w:type="dxa"/>
            <w:left w:w="0" w:type="dxa"/>
            <w:bottom w:w="0" w:type="dxa"/>
            <w:right w:w="0" w:type="dxa"/>
          </w:tblCellMar>
        </w:tblPrEx>
        <w:trPr>
          <w:hidden/>
        </w:trPr>
        <w:tc>
          <w:tcPr>
            <w:tcW w:w="1012" w:type="dxa"/>
            <w:tcBorders>
              <w:top w:val="nil"/>
              <w:left w:val="nil"/>
              <w:bottom w:val="nil"/>
              <w:right w:val="nil"/>
            </w:tcBorders>
            <w:shd w:val="clear" w:color="auto" w:fill="auto"/>
            <w:noWrap/>
            <w:tcMar>
              <w:top w:w="15" w:type="dxa"/>
              <w:left w:w="15" w:type="dxa"/>
              <w:bottom w:w="0" w:type="dxa"/>
              <w:right w:w="15" w:type="dxa"/>
            </w:tcMar>
            <w:vAlign w:val="center"/>
          </w:tcPr>
          <w:p w14:paraId="245F6C4D">
            <w:pPr>
              <w:rPr>
                <w:vanish/>
                <w:color w:val="000000"/>
                <w:sz w:val="22"/>
                <w:szCs w:val="22"/>
              </w:rPr>
            </w:pPr>
          </w:p>
        </w:tc>
        <w:tc>
          <w:tcPr>
            <w:tcW w:w="7718" w:type="dxa"/>
            <w:tcBorders>
              <w:top w:val="nil"/>
              <w:left w:val="nil"/>
              <w:bottom w:val="nil"/>
              <w:right w:val="nil"/>
            </w:tcBorders>
            <w:shd w:val="clear" w:color="auto" w:fill="auto"/>
            <w:noWrap/>
            <w:tcMar>
              <w:top w:w="15" w:type="dxa"/>
              <w:left w:w="15" w:type="dxa"/>
              <w:bottom w:w="0" w:type="dxa"/>
              <w:right w:w="15" w:type="dxa"/>
            </w:tcMar>
            <w:vAlign w:val="center"/>
          </w:tcPr>
          <w:p w14:paraId="27ABDD09">
            <w:pPr>
              <w:rPr>
                <w:vanish/>
                <w:color w:val="000000"/>
                <w:sz w:val="22"/>
                <w:szCs w:val="22"/>
              </w:rPr>
            </w:pPr>
          </w:p>
        </w:tc>
        <w:tc>
          <w:tcPr>
            <w:tcW w:w="1988" w:type="dxa"/>
            <w:tcBorders>
              <w:top w:val="nil"/>
              <w:left w:val="nil"/>
              <w:bottom w:val="nil"/>
              <w:right w:val="nil"/>
            </w:tcBorders>
            <w:shd w:val="clear" w:color="auto" w:fill="auto"/>
            <w:noWrap/>
            <w:tcMar>
              <w:top w:w="15" w:type="dxa"/>
              <w:left w:w="15" w:type="dxa"/>
              <w:bottom w:w="0" w:type="dxa"/>
              <w:right w:w="15" w:type="dxa"/>
            </w:tcMar>
            <w:vAlign w:val="center"/>
          </w:tcPr>
          <w:p w14:paraId="03AB3DE3">
            <w:pPr>
              <w:rPr>
                <w:vanish/>
                <w:color w:val="000000"/>
                <w:sz w:val="22"/>
                <w:szCs w:val="22"/>
              </w:rPr>
            </w:pPr>
          </w:p>
        </w:tc>
        <w:tc>
          <w:tcPr>
            <w:tcW w:w="1950" w:type="dxa"/>
            <w:tcBorders>
              <w:top w:val="nil"/>
              <w:left w:val="nil"/>
              <w:bottom w:val="nil"/>
              <w:right w:val="nil"/>
            </w:tcBorders>
            <w:shd w:val="clear" w:color="auto" w:fill="auto"/>
            <w:noWrap/>
            <w:tcMar>
              <w:top w:w="15" w:type="dxa"/>
              <w:left w:w="15" w:type="dxa"/>
              <w:bottom w:w="0" w:type="dxa"/>
              <w:right w:w="15" w:type="dxa"/>
            </w:tcMar>
            <w:vAlign w:val="center"/>
          </w:tcPr>
          <w:p w14:paraId="08FFA65F">
            <w:pPr>
              <w:rPr>
                <w:vanish/>
                <w:color w:val="000000"/>
                <w:sz w:val="22"/>
                <w:szCs w:val="22"/>
              </w:rPr>
            </w:pPr>
          </w:p>
        </w:tc>
        <w:tc>
          <w:tcPr>
            <w:tcW w:w="11644" w:type="dxa"/>
            <w:tcBorders>
              <w:top w:val="nil"/>
              <w:left w:val="nil"/>
              <w:bottom w:val="nil"/>
              <w:right w:val="nil"/>
            </w:tcBorders>
            <w:shd w:val="clear" w:color="auto" w:fill="auto"/>
            <w:noWrap/>
            <w:tcMar>
              <w:top w:w="15" w:type="dxa"/>
              <w:left w:w="15" w:type="dxa"/>
              <w:bottom w:w="0" w:type="dxa"/>
              <w:right w:w="15" w:type="dxa"/>
            </w:tcMar>
            <w:vAlign w:val="center"/>
          </w:tcPr>
          <w:p w14:paraId="4B5CA9FA">
            <w:pPr>
              <w:rPr>
                <w:vanish/>
                <w:color w:val="000000"/>
                <w:sz w:val="22"/>
                <w:szCs w:val="22"/>
              </w:rPr>
            </w:pPr>
          </w:p>
        </w:tc>
      </w:tr>
    </w:tbl>
    <w:p w14:paraId="4DBC9C15">
      <w:bookmarkStart w:id="0" w:name="_GoBack"/>
      <w:bookmarkEnd w:id="0"/>
    </w:p>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SnapToGridInCell/>
    <w:doNotWrapTextWithPunct/>
    <w:doNotUseEastAsianBreakRules/>
    <w:growAutofit/>
    <w:useFELayout/>
    <w:doNotUseIndentAsNumberingTabStop/>
    <w:compatSetting w:name="compatibilityMode" w:uri="http://schemas.microsoft.com/office/word" w:val="14"/>
  </w:compat>
  <w:docVars>
    <w:docVar w:name="commondata" w:val="eyJoZGlkIjoiMjJhNzdkZDY5ZjM1MDg1NmMwM2RiM2MzM2NjODI5OTgifQ=="/>
  </w:docVars>
  <w:rsids>
    <w:rsidRoot w:val="00FD4FA5"/>
    <w:rsid w:val="00CC5726"/>
    <w:rsid w:val="00FD4FA5"/>
    <w:rsid w:val="0736535D"/>
    <w:rsid w:val="1BA24E2E"/>
    <w:rsid w:val="30F54E49"/>
    <w:rsid w:val="351F54DB"/>
    <w:rsid w:val="398B4AB1"/>
    <w:rsid w:val="3DFC3EAB"/>
    <w:rsid w:val="4C823996"/>
    <w:rsid w:val="4D825A22"/>
    <w:rsid w:val="53541697"/>
    <w:rsid w:val="5E4E4B34"/>
    <w:rsid w:val="716E2D67"/>
    <w:rsid w:val="7D962E23"/>
    <w:rsid w:val="7F3A7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autoRedefine/>
    <w:qFormat/>
    <w:uiPriority w:val="9"/>
    <w:pPr>
      <w:pBdr>
        <w:bottom w:val="single" w:color="5B9BD5" w:sz="8" w:space="0"/>
      </w:pBdr>
      <w:spacing w:before="100" w:beforeAutospacing="1" w:after="100" w:afterAutospacing="1"/>
      <w:outlineLvl w:val="0"/>
    </w:pPr>
    <w:rPr>
      <w:b/>
      <w:bCs/>
      <w:color w:val="44546A"/>
      <w:sz w:val="30"/>
      <w:szCs w:val="30"/>
    </w:rPr>
  </w:style>
  <w:style w:type="paragraph" w:styleId="3">
    <w:name w:val="heading 2"/>
    <w:basedOn w:val="1"/>
    <w:next w:val="1"/>
    <w:qFormat/>
    <w:uiPriority w:val="9"/>
    <w:pPr>
      <w:pBdr>
        <w:bottom w:val="single" w:color="5B9BD5" w:sz="8" w:space="0"/>
      </w:pBdr>
      <w:spacing w:before="100" w:beforeAutospacing="1" w:after="100" w:afterAutospacing="1"/>
      <w:outlineLvl w:val="1"/>
    </w:pPr>
    <w:rPr>
      <w:b/>
      <w:bCs/>
      <w:color w:val="44546A"/>
      <w:sz w:val="26"/>
      <w:szCs w:val="26"/>
    </w:rPr>
  </w:style>
  <w:style w:type="paragraph" w:styleId="4">
    <w:name w:val="heading 3"/>
    <w:basedOn w:val="1"/>
    <w:next w:val="1"/>
    <w:autoRedefine/>
    <w:qFormat/>
    <w:uiPriority w:val="9"/>
    <w:pPr>
      <w:pBdr>
        <w:bottom w:val="single" w:color="ACCCEA" w:sz="8" w:space="0"/>
      </w:pBdr>
      <w:spacing w:before="100" w:beforeAutospacing="1" w:after="100" w:afterAutospacing="1"/>
      <w:outlineLvl w:val="2"/>
    </w:pPr>
    <w:rPr>
      <w:b/>
      <w:bCs/>
      <w:color w:val="44546A"/>
      <w:sz w:val="22"/>
      <w:szCs w:val="22"/>
    </w:rPr>
  </w:style>
  <w:style w:type="paragraph" w:styleId="5">
    <w:name w:val="heading 4"/>
    <w:basedOn w:val="1"/>
    <w:next w:val="1"/>
    <w:qFormat/>
    <w:uiPriority w:val="9"/>
    <w:pPr>
      <w:spacing w:before="100" w:beforeAutospacing="1" w:after="100" w:afterAutospacing="1"/>
      <w:outlineLvl w:val="3"/>
    </w:pPr>
    <w:rPr>
      <w:b/>
      <w:bCs/>
      <w:color w:val="44546A"/>
      <w:sz w:val="22"/>
      <w:szCs w:val="22"/>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6">
    <w:name w:val="Title"/>
    <w:basedOn w:val="1"/>
    <w:autoRedefine/>
    <w:qFormat/>
    <w:uiPriority w:val="10"/>
    <w:pPr>
      <w:spacing w:before="100" w:beforeAutospacing="1" w:after="100" w:afterAutospacing="1"/>
    </w:pPr>
    <w:rPr>
      <w:b/>
      <w:bCs/>
      <w:color w:val="44546A"/>
      <w:sz w:val="36"/>
      <w:szCs w:val="36"/>
    </w:rPr>
  </w:style>
  <w:style w:type="character" w:styleId="9">
    <w:name w:val="FollowedHyperlink"/>
    <w:basedOn w:val="8"/>
    <w:autoRedefine/>
    <w:semiHidden/>
    <w:unhideWhenUsed/>
    <w:qFormat/>
    <w:uiPriority w:val="99"/>
    <w:rPr>
      <w:color w:val="800080"/>
      <w:u w:val="single"/>
    </w:rPr>
  </w:style>
  <w:style w:type="character" w:styleId="10">
    <w:name w:val="Hyperlink"/>
    <w:basedOn w:val="8"/>
    <w:autoRedefine/>
    <w:semiHidden/>
    <w:unhideWhenUsed/>
    <w:qFormat/>
    <w:uiPriority w:val="99"/>
    <w:rPr>
      <w:color w:val="0000FF"/>
      <w:u w:val="single"/>
    </w:rPr>
  </w:style>
  <w:style w:type="paragraph" w:customStyle="1" w:styleId="11">
    <w:name w:val="font0"/>
    <w:basedOn w:val="1"/>
    <w:autoRedefine/>
    <w:qFormat/>
    <w:uiPriority w:val="0"/>
    <w:pPr>
      <w:spacing w:before="100" w:beforeAutospacing="1" w:after="100" w:afterAutospacing="1"/>
    </w:pPr>
    <w:rPr>
      <w:color w:val="000000"/>
      <w:sz w:val="22"/>
      <w:szCs w:val="22"/>
    </w:rPr>
  </w:style>
  <w:style w:type="paragraph" w:customStyle="1" w:styleId="12">
    <w:name w:val="font1"/>
    <w:basedOn w:val="1"/>
    <w:autoRedefine/>
    <w:qFormat/>
    <w:uiPriority w:val="0"/>
    <w:pPr>
      <w:spacing w:before="100" w:beforeAutospacing="1" w:after="100" w:afterAutospacing="1"/>
    </w:pPr>
    <w:rPr>
      <w:color w:val="000000"/>
    </w:rPr>
  </w:style>
  <w:style w:type="paragraph" w:customStyle="1" w:styleId="13">
    <w:name w:val="font2"/>
    <w:basedOn w:val="1"/>
    <w:autoRedefine/>
    <w:qFormat/>
    <w:uiPriority w:val="0"/>
    <w:pPr>
      <w:spacing w:before="100" w:beforeAutospacing="1" w:after="100" w:afterAutospacing="1"/>
    </w:pPr>
    <w:rPr>
      <w:b/>
      <w:bCs/>
      <w:color w:val="000000"/>
    </w:rPr>
  </w:style>
  <w:style w:type="paragraph" w:customStyle="1" w:styleId="14">
    <w:name w:val="font3"/>
    <w:basedOn w:val="1"/>
    <w:autoRedefine/>
    <w:qFormat/>
    <w:uiPriority w:val="0"/>
    <w:pPr>
      <w:spacing w:before="100" w:beforeAutospacing="1" w:after="100" w:afterAutospacing="1"/>
    </w:pPr>
    <w:rPr>
      <w:color w:val="0000FF"/>
      <w:sz w:val="22"/>
      <w:szCs w:val="22"/>
      <w:u w:val="single"/>
    </w:rPr>
  </w:style>
  <w:style w:type="paragraph" w:customStyle="1" w:styleId="15">
    <w:name w:val="font4"/>
    <w:basedOn w:val="1"/>
    <w:autoRedefine/>
    <w:qFormat/>
    <w:uiPriority w:val="0"/>
    <w:pPr>
      <w:spacing w:before="100" w:beforeAutospacing="1" w:after="100" w:afterAutospacing="1"/>
    </w:pPr>
    <w:rPr>
      <w:color w:val="000000"/>
      <w:sz w:val="22"/>
      <w:szCs w:val="22"/>
    </w:rPr>
  </w:style>
  <w:style w:type="paragraph" w:customStyle="1" w:styleId="16">
    <w:name w:val="font5"/>
    <w:basedOn w:val="1"/>
    <w:autoRedefine/>
    <w:qFormat/>
    <w:uiPriority w:val="0"/>
    <w:pPr>
      <w:spacing w:before="100" w:beforeAutospacing="1" w:after="100" w:afterAutospacing="1"/>
    </w:pPr>
    <w:rPr>
      <w:color w:val="000000"/>
      <w:sz w:val="22"/>
      <w:szCs w:val="22"/>
    </w:rPr>
  </w:style>
  <w:style w:type="paragraph" w:customStyle="1" w:styleId="17">
    <w:name w:val="font6"/>
    <w:basedOn w:val="1"/>
    <w:autoRedefine/>
    <w:qFormat/>
    <w:uiPriority w:val="0"/>
    <w:pPr>
      <w:spacing w:before="100" w:beforeAutospacing="1" w:after="100" w:afterAutospacing="1"/>
    </w:pPr>
    <w:rPr>
      <w:color w:val="3F3F76"/>
      <w:sz w:val="22"/>
      <w:szCs w:val="22"/>
    </w:rPr>
  </w:style>
  <w:style w:type="paragraph" w:customStyle="1" w:styleId="18">
    <w:name w:val="font7"/>
    <w:basedOn w:val="1"/>
    <w:qFormat/>
    <w:uiPriority w:val="0"/>
    <w:pPr>
      <w:spacing w:before="100" w:beforeAutospacing="1" w:after="100" w:afterAutospacing="1"/>
    </w:pPr>
    <w:rPr>
      <w:color w:val="9C0006"/>
      <w:sz w:val="22"/>
      <w:szCs w:val="22"/>
    </w:rPr>
  </w:style>
  <w:style w:type="paragraph" w:customStyle="1" w:styleId="19">
    <w:name w:val="font8"/>
    <w:basedOn w:val="1"/>
    <w:autoRedefine/>
    <w:qFormat/>
    <w:uiPriority w:val="0"/>
    <w:pPr>
      <w:spacing w:before="100" w:beforeAutospacing="1" w:after="100" w:afterAutospacing="1"/>
    </w:pPr>
    <w:rPr>
      <w:color w:val="FFFFFF"/>
      <w:sz w:val="22"/>
      <w:szCs w:val="22"/>
    </w:rPr>
  </w:style>
  <w:style w:type="paragraph" w:customStyle="1" w:styleId="20">
    <w:name w:val="font9"/>
    <w:basedOn w:val="1"/>
    <w:autoRedefine/>
    <w:qFormat/>
    <w:uiPriority w:val="0"/>
    <w:pPr>
      <w:spacing w:before="100" w:beforeAutospacing="1" w:after="100" w:afterAutospacing="1"/>
    </w:pPr>
    <w:rPr>
      <w:color w:val="800080"/>
      <w:sz w:val="22"/>
      <w:szCs w:val="22"/>
      <w:u w:val="single"/>
    </w:rPr>
  </w:style>
  <w:style w:type="paragraph" w:customStyle="1" w:styleId="21">
    <w:name w:val="font10"/>
    <w:basedOn w:val="1"/>
    <w:qFormat/>
    <w:uiPriority w:val="0"/>
    <w:pPr>
      <w:spacing w:before="100" w:beforeAutospacing="1" w:after="100" w:afterAutospacing="1"/>
    </w:pPr>
    <w:rPr>
      <w:b/>
      <w:bCs/>
      <w:color w:val="44546A"/>
      <w:sz w:val="22"/>
      <w:szCs w:val="22"/>
    </w:rPr>
  </w:style>
  <w:style w:type="paragraph" w:customStyle="1" w:styleId="22">
    <w:name w:val="font11"/>
    <w:basedOn w:val="1"/>
    <w:autoRedefine/>
    <w:qFormat/>
    <w:uiPriority w:val="0"/>
    <w:pPr>
      <w:spacing w:before="100" w:beforeAutospacing="1" w:after="100" w:afterAutospacing="1"/>
    </w:pPr>
    <w:rPr>
      <w:color w:val="FF0000"/>
      <w:sz w:val="22"/>
      <w:szCs w:val="22"/>
    </w:rPr>
  </w:style>
  <w:style w:type="paragraph" w:customStyle="1" w:styleId="23">
    <w:name w:val="font12"/>
    <w:basedOn w:val="1"/>
    <w:autoRedefine/>
    <w:qFormat/>
    <w:uiPriority w:val="0"/>
    <w:pPr>
      <w:spacing w:before="100" w:beforeAutospacing="1" w:after="100" w:afterAutospacing="1"/>
    </w:pPr>
    <w:rPr>
      <w:b/>
      <w:bCs/>
      <w:color w:val="44546A"/>
      <w:sz w:val="36"/>
      <w:szCs w:val="36"/>
    </w:rPr>
  </w:style>
  <w:style w:type="paragraph" w:customStyle="1" w:styleId="24">
    <w:name w:val="font13"/>
    <w:basedOn w:val="1"/>
    <w:autoRedefine/>
    <w:qFormat/>
    <w:uiPriority w:val="0"/>
    <w:pPr>
      <w:spacing w:before="100" w:beforeAutospacing="1" w:after="100" w:afterAutospacing="1"/>
    </w:pPr>
    <w:rPr>
      <w:i/>
      <w:iCs/>
      <w:color w:val="7F7F7F"/>
      <w:sz w:val="22"/>
      <w:szCs w:val="22"/>
    </w:rPr>
  </w:style>
  <w:style w:type="paragraph" w:customStyle="1" w:styleId="25">
    <w:name w:val="font14"/>
    <w:basedOn w:val="1"/>
    <w:autoRedefine/>
    <w:qFormat/>
    <w:uiPriority w:val="0"/>
    <w:pPr>
      <w:spacing w:before="100" w:beforeAutospacing="1" w:after="100" w:afterAutospacing="1"/>
    </w:pPr>
    <w:rPr>
      <w:b/>
      <w:bCs/>
      <w:color w:val="44546A"/>
      <w:sz w:val="30"/>
      <w:szCs w:val="30"/>
    </w:rPr>
  </w:style>
  <w:style w:type="paragraph" w:customStyle="1" w:styleId="26">
    <w:name w:val="font15"/>
    <w:basedOn w:val="1"/>
    <w:autoRedefine/>
    <w:qFormat/>
    <w:uiPriority w:val="0"/>
    <w:pPr>
      <w:spacing w:before="100" w:beforeAutospacing="1" w:after="100" w:afterAutospacing="1"/>
    </w:pPr>
    <w:rPr>
      <w:b/>
      <w:bCs/>
      <w:color w:val="44546A"/>
      <w:sz w:val="26"/>
      <w:szCs w:val="26"/>
    </w:rPr>
  </w:style>
  <w:style w:type="paragraph" w:customStyle="1" w:styleId="27">
    <w:name w:val="font16"/>
    <w:basedOn w:val="1"/>
    <w:autoRedefine/>
    <w:qFormat/>
    <w:uiPriority w:val="0"/>
    <w:pPr>
      <w:spacing w:before="100" w:beforeAutospacing="1" w:after="100" w:afterAutospacing="1"/>
    </w:pPr>
    <w:rPr>
      <w:b/>
      <w:bCs/>
      <w:color w:val="3F3F3F"/>
      <w:sz w:val="22"/>
      <w:szCs w:val="22"/>
    </w:rPr>
  </w:style>
  <w:style w:type="paragraph" w:customStyle="1" w:styleId="28">
    <w:name w:val="font17"/>
    <w:basedOn w:val="1"/>
    <w:autoRedefine/>
    <w:qFormat/>
    <w:uiPriority w:val="0"/>
    <w:pPr>
      <w:spacing w:before="100" w:beforeAutospacing="1" w:after="100" w:afterAutospacing="1"/>
    </w:pPr>
    <w:rPr>
      <w:b/>
      <w:bCs/>
      <w:color w:val="FA7D00"/>
      <w:sz w:val="22"/>
      <w:szCs w:val="22"/>
    </w:rPr>
  </w:style>
  <w:style w:type="paragraph" w:customStyle="1" w:styleId="29">
    <w:name w:val="font18"/>
    <w:basedOn w:val="1"/>
    <w:autoRedefine/>
    <w:qFormat/>
    <w:uiPriority w:val="0"/>
    <w:pPr>
      <w:spacing w:before="100" w:beforeAutospacing="1" w:after="100" w:afterAutospacing="1"/>
    </w:pPr>
    <w:rPr>
      <w:b/>
      <w:bCs/>
      <w:color w:val="FFFFFF"/>
      <w:sz w:val="22"/>
      <w:szCs w:val="22"/>
    </w:rPr>
  </w:style>
  <w:style w:type="paragraph" w:customStyle="1" w:styleId="30">
    <w:name w:val="font19"/>
    <w:basedOn w:val="1"/>
    <w:autoRedefine/>
    <w:qFormat/>
    <w:uiPriority w:val="0"/>
    <w:pPr>
      <w:spacing w:before="100" w:beforeAutospacing="1" w:after="100" w:afterAutospacing="1"/>
    </w:pPr>
    <w:rPr>
      <w:color w:val="FA7D00"/>
      <w:sz w:val="22"/>
      <w:szCs w:val="22"/>
    </w:rPr>
  </w:style>
  <w:style w:type="paragraph" w:customStyle="1" w:styleId="31">
    <w:name w:val="font20"/>
    <w:basedOn w:val="1"/>
    <w:autoRedefine/>
    <w:qFormat/>
    <w:uiPriority w:val="0"/>
    <w:pPr>
      <w:spacing w:before="100" w:beforeAutospacing="1" w:after="100" w:afterAutospacing="1"/>
    </w:pPr>
    <w:rPr>
      <w:b/>
      <w:bCs/>
      <w:color w:val="000000"/>
      <w:sz w:val="22"/>
      <w:szCs w:val="22"/>
    </w:rPr>
  </w:style>
  <w:style w:type="paragraph" w:customStyle="1" w:styleId="32">
    <w:name w:val="font21"/>
    <w:basedOn w:val="1"/>
    <w:autoRedefine/>
    <w:qFormat/>
    <w:uiPriority w:val="0"/>
    <w:pPr>
      <w:spacing w:before="100" w:beforeAutospacing="1" w:after="100" w:afterAutospacing="1"/>
    </w:pPr>
    <w:rPr>
      <w:color w:val="006100"/>
      <w:sz w:val="22"/>
      <w:szCs w:val="22"/>
    </w:rPr>
  </w:style>
  <w:style w:type="paragraph" w:customStyle="1" w:styleId="33">
    <w:name w:val="font22"/>
    <w:basedOn w:val="1"/>
    <w:autoRedefine/>
    <w:qFormat/>
    <w:uiPriority w:val="0"/>
    <w:pPr>
      <w:spacing w:before="100" w:beforeAutospacing="1" w:after="100" w:afterAutospacing="1"/>
    </w:pPr>
    <w:rPr>
      <w:color w:val="9C6500"/>
      <w:sz w:val="22"/>
      <w:szCs w:val="22"/>
    </w:rPr>
  </w:style>
  <w:style w:type="paragraph" w:customStyle="1" w:styleId="34">
    <w:name w:val="常规"/>
    <w:basedOn w:val="1"/>
    <w:autoRedefine/>
    <w:qFormat/>
    <w:uiPriority w:val="0"/>
    <w:pPr>
      <w:spacing w:before="100" w:beforeAutospacing="1" w:after="100" w:afterAutospacing="1"/>
      <w:textAlignment w:val="center"/>
    </w:pPr>
    <w:rPr>
      <w:color w:val="000000"/>
      <w:sz w:val="22"/>
      <w:szCs w:val="22"/>
    </w:rPr>
  </w:style>
  <w:style w:type="paragraph" w:customStyle="1" w:styleId="35">
    <w:name w:val="货币[0]"/>
    <w:basedOn w:val="1"/>
    <w:autoRedefine/>
    <w:qFormat/>
    <w:uiPriority w:val="0"/>
    <w:pPr>
      <w:spacing w:before="100" w:beforeAutospacing="1" w:after="100" w:afterAutospacing="1"/>
    </w:pPr>
  </w:style>
  <w:style w:type="paragraph" w:customStyle="1" w:styleId="36">
    <w:name w:val="20% - 强调文字颜色 3"/>
    <w:basedOn w:val="1"/>
    <w:qFormat/>
    <w:uiPriority w:val="0"/>
    <w:pPr>
      <w:shd w:val="clear" w:color="auto" w:fill="EDEDED"/>
      <w:spacing w:before="100" w:beforeAutospacing="1" w:after="100" w:afterAutospacing="1"/>
    </w:pPr>
    <w:rPr>
      <w:color w:val="000000"/>
      <w:sz w:val="22"/>
      <w:szCs w:val="22"/>
    </w:rPr>
  </w:style>
  <w:style w:type="paragraph" w:customStyle="1" w:styleId="37">
    <w:name w:val="输入"/>
    <w:basedOn w:val="1"/>
    <w:qFormat/>
    <w:uiPriority w:val="0"/>
    <w:pPr>
      <w:pBdr>
        <w:top w:val="single" w:color="7F7F7F" w:sz="4" w:space="0"/>
        <w:left w:val="single" w:color="7F7F7F" w:sz="4" w:space="0"/>
        <w:bottom w:val="single" w:color="7F7F7F" w:sz="4" w:space="0"/>
        <w:right w:val="single" w:color="7F7F7F" w:sz="4" w:space="0"/>
      </w:pBdr>
      <w:shd w:val="clear" w:color="auto" w:fill="FFCC99"/>
      <w:spacing w:before="100" w:beforeAutospacing="1" w:after="100" w:afterAutospacing="1"/>
    </w:pPr>
    <w:rPr>
      <w:color w:val="3F3F76"/>
      <w:sz w:val="22"/>
      <w:szCs w:val="22"/>
    </w:rPr>
  </w:style>
  <w:style w:type="paragraph" w:customStyle="1" w:styleId="38">
    <w:name w:val="货币"/>
    <w:basedOn w:val="1"/>
    <w:qFormat/>
    <w:uiPriority w:val="0"/>
    <w:pPr>
      <w:spacing w:before="100" w:beforeAutospacing="1" w:after="100" w:afterAutospacing="1"/>
    </w:pPr>
  </w:style>
  <w:style w:type="paragraph" w:customStyle="1" w:styleId="39">
    <w:name w:val="千位分隔[0]"/>
    <w:basedOn w:val="1"/>
    <w:qFormat/>
    <w:uiPriority w:val="0"/>
    <w:pPr>
      <w:spacing w:before="100" w:beforeAutospacing="1" w:after="100" w:afterAutospacing="1"/>
    </w:pPr>
  </w:style>
  <w:style w:type="paragraph" w:customStyle="1" w:styleId="40">
    <w:name w:val="40% - 强调文字颜色 3"/>
    <w:basedOn w:val="1"/>
    <w:qFormat/>
    <w:uiPriority w:val="0"/>
    <w:pPr>
      <w:shd w:val="clear" w:color="auto" w:fill="DBDBDB"/>
      <w:spacing w:before="100" w:beforeAutospacing="1" w:after="100" w:afterAutospacing="1"/>
    </w:pPr>
    <w:rPr>
      <w:color w:val="000000"/>
      <w:sz w:val="22"/>
      <w:szCs w:val="22"/>
    </w:rPr>
  </w:style>
  <w:style w:type="paragraph" w:customStyle="1" w:styleId="41">
    <w:name w:val="差"/>
    <w:basedOn w:val="1"/>
    <w:qFormat/>
    <w:uiPriority w:val="0"/>
    <w:pPr>
      <w:shd w:val="clear" w:color="auto" w:fill="FFC7CE"/>
      <w:spacing w:before="100" w:beforeAutospacing="1" w:after="100" w:afterAutospacing="1"/>
    </w:pPr>
    <w:rPr>
      <w:color w:val="9C0006"/>
      <w:sz w:val="22"/>
      <w:szCs w:val="22"/>
    </w:rPr>
  </w:style>
  <w:style w:type="paragraph" w:customStyle="1" w:styleId="42">
    <w:name w:val="千位分隔"/>
    <w:basedOn w:val="1"/>
    <w:qFormat/>
    <w:uiPriority w:val="0"/>
    <w:pPr>
      <w:spacing w:before="100" w:beforeAutospacing="1" w:after="100" w:afterAutospacing="1"/>
    </w:pPr>
  </w:style>
  <w:style w:type="paragraph" w:customStyle="1" w:styleId="43">
    <w:name w:val="60% - 强调文字颜色 3"/>
    <w:basedOn w:val="1"/>
    <w:qFormat/>
    <w:uiPriority w:val="0"/>
    <w:pPr>
      <w:shd w:val="clear" w:color="auto" w:fill="C9C9C9"/>
      <w:spacing w:before="100" w:beforeAutospacing="1" w:after="100" w:afterAutospacing="1"/>
    </w:pPr>
    <w:rPr>
      <w:color w:val="FFFFFF"/>
      <w:sz w:val="22"/>
      <w:szCs w:val="22"/>
    </w:rPr>
  </w:style>
  <w:style w:type="paragraph" w:customStyle="1" w:styleId="44">
    <w:name w:val="超链接1"/>
    <w:basedOn w:val="1"/>
    <w:qFormat/>
    <w:uiPriority w:val="0"/>
    <w:pPr>
      <w:spacing w:before="100" w:beforeAutospacing="1" w:after="100" w:afterAutospacing="1"/>
    </w:pPr>
    <w:rPr>
      <w:color w:val="0000FF"/>
      <w:sz w:val="22"/>
      <w:szCs w:val="22"/>
      <w:u w:val="single"/>
    </w:rPr>
  </w:style>
  <w:style w:type="paragraph" w:customStyle="1" w:styleId="45">
    <w:name w:val="百分比"/>
    <w:basedOn w:val="1"/>
    <w:qFormat/>
    <w:uiPriority w:val="0"/>
    <w:pPr>
      <w:spacing w:before="100" w:beforeAutospacing="1" w:after="100" w:afterAutospacing="1"/>
    </w:pPr>
  </w:style>
  <w:style w:type="paragraph" w:customStyle="1" w:styleId="46">
    <w:name w:val="已访问的超链接11"/>
    <w:basedOn w:val="1"/>
    <w:qFormat/>
    <w:uiPriority w:val="0"/>
    <w:pPr>
      <w:spacing w:before="100" w:beforeAutospacing="1" w:after="100" w:afterAutospacing="1"/>
    </w:pPr>
    <w:rPr>
      <w:color w:val="800080"/>
      <w:sz w:val="22"/>
      <w:szCs w:val="22"/>
      <w:u w:val="single"/>
    </w:rPr>
  </w:style>
  <w:style w:type="paragraph" w:customStyle="1" w:styleId="47">
    <w:name w:val="注释"/>
    <w:basedOn w:val="1"/>
    <w:autoRedefine/>
    <w:qFormat/>
    <w:uiPriority w:val="0"/>
    <w:pPr>
      <w:pBdr>
        <w:top w:val="single" w:color="B2B2B2" w:sz="4" w:space="0"/>
        <w:left w:val="single" w:color="B2B2B2" w:sz="4" w:space="0"/>
        <w:bottom w:val="single" w:color="B2B2B2" w:sz="4" w:space="0"/>
        <w:right w:val="single" w:color="B2B2B2" w:sz="4" w:space="0"/>
      </w:pBdr>
      <w:shd w:val="clear" w:color="auto" w:fill="FFFFCC"/>
      <w:spacing w:before="100" w:beforeAutospacing="1" w:after="100" w:afterAutospacing="1"/>
    </w:pPr>
  </w:style>
  <w:style w:type="paragraph" w:customStyle="1" w:styleId="48">
    <w:name w:val="60% - 强调文字颜色 2"/>
    <w:basedOn w:val="1"/>
    <w:autoRedefine/>
    <w:qFormat/>
    <w:uiPriority w:val="0"/>
    <w:pPr>
      <w:shd w:val="clear" w:color="auto" w:fill="F4B084"/>
      <w:spacing w:before="100" w:beforeAutospacing="1" w:after="100" w:afterAutospacing="1"/>
    </w:pPr>
    <w:rPr>
      <w:color w:val="FFFFFF"/>
      <w:sz w:val="22"/>
      <w:szCs w:val="22"/>
    </w:rPr>
  </w:style>
  <w:style w:type="character" w:customStyle="1" w:styleId="49">
    <w:name w:val="标题 4 Char"/>
    <w:basedOn w:val="8"/>
    <w:semiHidden/>
    <w:qFormat/>
    <w:uiPriority w:val="9"/>
    <w:rPr>
      <w:rFonts w:asciiTheme="majorHAnsi" w:hAnsiTheme="majorHAnsi" w:eastAsiaTheme="majorEastAsia" w:cstheme="majorBidi"/>
      <w:b/>
      <w:bCs/>
      <w:sz w:val="28"/>
      <w:szCs w:val="28"/>
    </w:rPr>
  </w:style>
  <w:style w:type="paragraph" w:customStyle="1" w:styleId="50">
    <w:name w:val="警告文本"/>
    <w:basedOn w:val="1"/>
    <w:qFormat/>
    <w:uiPriority w:val="0"/>
    <w:pPr>
      <w:spacing w:before="100" w:beforeAutospacing="1" w:after="100" w:afterAutospacing="1"/>
    </w:pPr>
    <w:rPr>
      <w:color w:val="FF0000"/>
      <w:sz w:val="22"/>
      <w:szCs w:val="22"/>
    </w:rPr>
  </w:style>
  <w:style w:type="character" w:customStyle="1" w:styleId="51">
    <w:name w:val="标题 Char"/>
    <w:basedOn w:val="8"/>
    <w:qFormat/>
    <w:uiPriority w:val="10"/>
    <w:rPr>
      <w:rFonts w:eastAsia="宋体" w:asciiTheme="majorHAnsi" w:hAnsiTheme="majorHAnsi" w:cstheme="majorBidi"/>
      <w:b/>
      <w:bCs/>
      <w:sz w:val="32"/>
      <w:szCs w:val="32"/>
    </w:rPr>
  </w:style>
  <w:style w:type="paragraph" w:customStyle="1" w:styleId="52">
    <w:name w:val="解释性文本"/>
    <w:basedOn w:val="1"/>
    <w:qFormat/>
    <w:uiPriority w:val="0"/>
    <w:pPr>
      <w:spacing w:before="100" w:beforeAutospacing="1" w:after="100" w:afterAutospacing="1"/>
    </w:pPr>
    <w:rPr>
      <w:i/>
      <w:iCs/>
      <w:color w:val="7F7F7F"/>
      <w:sz w:val="22"/>
      <w:szCs w:val="22"/>
    </w:rPr>
  </w:style>
  <w:style w:type="character" w:customStyle="1" w:styleId="53">
    <w:name w:val="标题 1 Char"/>
    <w:basedOn w:val="8"/>
    <w:autoRedefine/>
    <w:qFormat/>
    <w:uiPriority w:val="9"/>
    <w:rPr>
      <w:rFonts w:ascii="宋体" w:hAnsi="宋体" w:eastAsia="宋体" w:cs="宋体"/>
      <w:b/>
      <w:bCs/>
      <w:kern w:val="44"/>
      <w:sz w:val="44"/>
      <w:szCs w:val="44"/>
    </w:rPr>
  </w:style>
  <w:style w:type="character" w:customStyle="1" w:styleId="54">
    <w:name w:val="标题 2 Char"/>
    <w:basedOn w:val="8"/>
    <w:semiHidden/>
    <w:qFormat/>
    <w:uiPriority w:val="9"/>
    <w:rPr>
      <w:rFonts w:asciiTheme="majorHAnsi" w:hAnsiTheme="majorHAnsi" w:eastAsiaTheme="majorEastAsia" w:cstheme="majorBidi"/>
      <w:b/>
      <w:bCs/>
      <w:sz w:val="32"/>
      <w:szCs w:val="32"/>
    </w:rPr>
  </w:style>
  <w:style w:type="paragraph" w:customStyle="1" w:styleId="55">
    <w:name w:val="60% - 强调文字颜色 1"/>
    <w:basedOn w:val="1"/>
    <w:autoRedefine/>
    <w:qFormat/>
    <w:uiPriority w:val="0"/>
    <w:pPr>
      <w:shd w:val="clear" w:color="auto" w:fill="9BC2E6"/>
      <w:spacing w:before="100" w:beforeAutospacing="1" w:after="100" w:afterAutospacing="1"/>
    </w:pPr>
    <w:rPr>
      <w:color w:val="FFFFFF"/>
      <w:sz w:val="22"/>
      <w:szCs w:val="22"/>
    </w:rPr>
  </w:style>
  <w:style w:type="character" w:customStyle="1" w:styleId="56">
    <w:name w:val="标题 3 Char"/>
    <w:basedOn w:val="8"/>
    <w:semiHidden/>
    <w:qFormat/>
    <w:uiPriority w:val="9"/>
    <w:rPr>
      <w:rFonts w:ascii="宋体" w:hAnsi="宋体" w:eastAsia="宋体" w:cs="宋体"/>
      <w:b/>
      <w:bCs/>
      <w:sz w:val="32"/>
      <w:szCs w:val="32"/>
    </w:rPr>
  </w:style>
  <w:style w:type="paragraph" w:customStyle="1" w:styleId="57">
    <w:name w:val="60% - 强调文字颜色 4"/>
    <w:basedOn w:val="1"/>
    <w:qFormat/>
    <w:uiPriority w:val="0"/>
    <w:pPr>
      <w:shd w:val="clear" w:color="auto" w:fill="FFD966"/>
      <w:spacing w:before="100" w:beforeAutospacing="1" w:after="100" w:afterAutospacing="1"/>
    </w:pPr>
    <w:rPr>
      <w:color w:val="FFFFFF"/>
      <w:sz w:val="22"/>
      <w:szCs w:val="22"/>
    </w:rPr>
  </w:style>
  <w:style w:type="paragraph" w:customStyle="1" w:styleId="58">
    <w:name w:val="输出"/>
    <w:basedOn w:val="1"/>
    <w:autoRedefine/>
    <w:qFormat/>
    <w:uiPriority w:val="0"/>
    <w:pPr>
      <w:pBdr>
        <w:top w:val="single" w:color="3F3F3F" w:sz="4" w:space="0"/>
        <w:left w:val="single" w:color="3F3F3F" w:sz="4" w:space="0"/>
        <w:bottom w:val="single" w:color="3F3F3F" w:sz="4" w:space="0"/>
        <w:right w:val="single" w:color="3F3F3F" w:sz="4" w:space="0"/>
      </w:pBdr>
      <w:shd w:val="clear" w:color="auto" w:fill="F2F2F2"/>
      <w:spacing w:before="100" w:beforeAutospacing="1" w:after="100" w:afterAutospacing="1"/>
    </w:pPr>
    <w:rPr>
      <w:b/>
      <w:bCs/>
      <w:color w:val="3F3F3F"/>
      <w:sz w:val="22"/>
      <w:szCs w:val="22"/>
    </w:rPr>
  </w:style>
  <w:style w:type="paragraph" w:customStyle="1" w:styleId="59">
    <w:name w:val="计算"/>
    <w:basedOn w:val="1"/>
    <w:qFormat/>
    <w:uiPriority w:val="0"/>
    <w:pPr>
      <w:pBdr>
        <w:top w:val="single" w:color="7F7F7F" w:sz="4" w:space="0"/>
        <w:left w:val="single" w:color="7F7F7F" w:sz="4" w:space="0"/>
        <w:bottom w:val="single" w:color="7F7F7F" w:sz="4" w:space="0"/>
        <w:right w:val="single" w:color="7F7F7F" w:sz="4" w:space="0"/>
      </w:pBdr>
      <w:shd w:val="clear" w:color="auto" w:fill="F2F2F2"/>
      <w:spacing w:before="100" w:beforeAutospacing="1" w:after="100" w:afterAutospacing="1"/>
    </w:pPr>
    <w:rPr>
      <w:b/>
      <w:bCs/>
      <w:color w:val="FA7D00"/>
      <w:sz w:val="22"/>
      <w:szCs w:val="22"/>
    </w:rPr>
  </w:style>
  <w:style w:type="paragraph" w:customStyle="1" w:styleId="60">
    <w:name w:val="检查单元格"/>
    <w:basedOn w:val="1"/>
    <w:autoRedefine/>
    <w:qFormat/>
    <w:uiPriority w:val="0"/>
    <w:pPr>
      <w:pBdr>
        <w:top w:val="double" w:color="3F3F3F" w:sz="6" w:space="0"/>
        <w:left w:val="double" w:color="3F3F3F" w:sz="6" w:space="0"/>
        <w:bottom w:val="double" w:color="3F3F3F" w:sz="6" w:space="0"/>
        <w:right w:val="double" w:color="3F3F3F" w:sz="6" w:space="0"/>
      </w:pBdr>
      <w:shd w:val="clear" w:color="auto" w:fill="A5A5A5"/>
      <w:spacing w:before="100" w:beforeAutospacing="1" w:after="100" w:afterAutospacing="1"/>
    </w:pPr>
    <w:rPr>
      <w:b/>
      <w:bCs/>
      <w:color w:val="FFFFFF"/>
      <w:sz w:val="22"/>
      <w:szCs w:val="22"/>
    </w:rPr>
  </w:style>
  <w:style w:type="paragraph" w:customStyle="1" w:styleId="61">
    <w:name w:val="20% - 强调文字颜色 6"/>
    <w:basedOn w:val="1"/>
    <w:qFormat/>
    <w:uiPriority w:val="0"/>
    <w:pPr>
      <w:shd w:val="clear" w:color="auto" w:fill="E2EFDA"/>
      <w:spacing w:before="100" w:beforeAutospacing="1" w:after="100" w:afterAutospacing="1"/>
    </w:pPr>
    <w:rPr>
      <w:color w:val="000000"/>
      <w:sz w:val="22"/>
      <w:szCs w:val="22"/>
    </w:rPr>
  </w:style>
  <w:style w:type="paragraph" w:customStyle="1" w:styleId="62">
    <w:name w:val="强调文字颜色 2"/>
    <w:basedOn w:val="1"/>
    <w:qFormat/>
    <w:uiPriority w:val="0"/>
    <w:pPr>
      <w:shd w:val="clear" w:color="auto" w:fill="ED7D31"/>
      <w:spacing w:before="100" w:beforeAutospacing="1" w:after="100" w:afterAutospacing="1"/>
    </w:pPr>
    <w:rPr>
      <w:color w:val="FFFFFF"/>
      <w:sz w:val="22"/>
      <w:szCs w:val="22"/>
    </w:rPr>
  </w:style>
  <w:style w:type="paragraph" w:customStyle="1" w:styleId="63">
    <w:name w:val="链接单元格"/>
    <w:basedOn w:val="1"/>
    <w:qFormat/>
    <w:uiPriority w:val="0"/>
    <w:pPr>
      <w:pBdr>
        <w:bottom w:val="double" w:color="FF8001" w:sz="6" w:space="0"/>
      </w:pBdr>
      <w:spacing w:before="100" w:beforeAutospacing="1" w:after="100" w:afterAutospacing="1"/>
    </w:pPr>
    <w:rPr>
      <w:color w:val="FA7D00"/>
      <w:sz w:val="22"/>
      <w:szCs w:val="22"/>
    </w:rPr>
  </w:style>
  <w:style w:type="paragraph" w:customStyle="1" w:styleId="64">
    <w:name w:val="汇总"/>
    <w:basedOn w:val="1"/>
    <w:autoRedefine/>
    <w:qFormat/>
    <w:uiPriority w:val="0"/>
    <w:pPr>
      <w:pBdr>
        <w:top w:val="single" w:color="5B9BD5" w:sz="4" w:space="0"/>
        <w:bottom w:val="double" w:color="5B9BD5" w:sz="6" w:space="0"/>
      </w:pBdr>
      <w:spacing w:before="100" w:beforeAutospacing="1" w:after="100" w:afterAutospacing="1"/>
    </w:pPr>
    <w:rPr>
      <w:b/>
      <w:bCs/>
      <w:color w:val="000000"/>
      <w:sz w:val="22"/>
      <w:szCs w:val="22"/>
    </w:rPr>
  </w:style>
  <w:style w:type="paragraph" w:customStyle="1" w:styleId="65">
    <w:name w:val="好"/>
    <w:basedOn w:val="1"/>
    <w:qFormat/>
    <w:uiPriority w:val="0"/>
    <w:pPr>
      <w:shd w:val="clear" w:color="auto" w:fill="C6EFCE"/>
      <w:spacing w:before="100" w:beforeAutospacing="1" w:after="100" w:afterAutospacing="1"/>
    </w:pPr>
    <w:rPr>
      <w:color w:val="006100"/>
      <w:sz w:val="22"/>
      <w:szCs w:val="22"/>
    </w:rPr>
  </w:style>
  <w:style w:type="paragraph" w:customStyle="1" w:styleId="66">
    <w:name w:val="适中"/>
    <w:basedOn w:val="1"/>
    <w:autoRedefine/>
    <w:qFormat/>
    <w:uiPriority w:val="0"/>
    <w:pPr>
      <w:shd w:val="clear" w:color="auto" w:fill="FFEB9C"/>
      <w:spacing w:before="100" w:beforeAutospacing="1" w:after="100" w:afterAutospacing="1"/>
    </w:pPr>
    <w:rPr>
      <w:color w:val="9C6500"/>
      <w:sz w:val="22"/>
      <w:szCs w:val="22"/>
    </w:rPr>
  </w:style>
  <w:style w:type="paragraph" w:customStyle="1" w:styleId="67">
    <w:name w:val="20% - 强调文字颜色 5"/>
    <w:basedOn w:val="1"/>
    <w:autoRedefine/>
    <w:qFormat/>
    <w:uiPriority w:val="0"/>
    <w:pPr>
      <w:shd w:val="clear" w:color="auto" w:fill="D9E1F2"/>
      <w:spacing w:before="100" w:beforeAutospacing="1" w:after="100" w:afterAutospacing="1"/>
    </w:pPr>
    <w:rPr>
      <w:color w:val="000000"/>
      <w:sz w:val="22"/>
      <w:szCs w:val="22"/>
    </w:rPr>
  </w:style>
  <w:style w:type="paragraph" w:customStyle="1" w:styleId="68">
    <w:name w:val="强调文字颜色 1"/>
    <w:basedOn w:val="1"/>
    <w:autoRedefine/>
    <w:qFormat/>
    <w:uiPriority w:val="0"/>
    <w:pPr>
      <w:shd w:val="clear" w:color="auto" w:fill="5B9BD5"/>
      <w:spacing w:before="100" w:beforeAutospacing="1" w:after="100" w:afterAutospacing="1"/>
    </w:pPr>
    <w:rPr>
      <w:color w:val="FFFFFF"/>
      <w:sz w:val="22"/>
      <w:szCs w:val="22"/>
    </w:rPr>
  </w:style>
  <w:style w:type="paragraph" w:customStyle="1" w:styleId="69">
    <w:name w:val="20% - 强调文字颜色 1"/>
    <w:basedOn w:val="1"/>
    <w:autoRedefine/>
    <w:qFormat/>
    <w:uiPriority w:val="0"/>
    <w:pPr>
      <w:shd w:val="clear" w:color="auto" w:fill="DDEBF7"/>
      <w:spacing w:before="100" w:beforeAutospacing="1" w:after="100" w:afterAutospacing="1"/>
    </w:pPr>
    <w:rPr>
      <w:color w:val="000000"/>
      <w:sz w:val="22"/>
      <w:szCs w:val="22"/>
    </w:rPr>
  </w:style>
  <w:style w:type="paragraph" w:customStyle="1" w:styleId="70">
    <w:name w:val="40% - 强调文字颜色 1"/>
    <w:basedOn w:val="1"/>
    <w:autoRedefine/>
    <w:qFormat/>
    <w:uiPriority w:val="0"/>
    <w:pPr>
      <w:shd w:val="clear" w:color="auto" w:fill="BDD7EE"/>
      <w:spacing w:before="100" w:beforeAutospacing="1" w:after="100" w:afterAutospacing="1"/>
    </w:pPr>
    <w:rPr>
      <w:color w:val="000000"/>
      <w:sz w:val="22"/>
      <w:szCs w:val="22"/>
    </w:rPr>
  </w:style>
  <w:style w:type="paragraph" w:customStyle="1" w:styleId="71">
    <w:name w:val="20% - 强调文字颜色 2"/>
    <w:basedOn w:val="1"/>
    <w:autoRedefine/>
    <w:qFormat/>
    <w:uiPriority w:val="0"/>
    <w:pPr>
      <w:shd w:val="clear" w:color="auto" w:fill="FCE4D6"/>
      <w:spacing w:before="100" w:beforeAutospacing="1" w:after="100" w:afterAutospacing="1"/>
    </w:pPr>
    <w:rPr>
      <w:color w:val="000000"/>
      <w:sz w:val="22"/>
      <w:szCs w:val="22"/>
    </w:rPr>
  </w:style>
  <w:style w:type="paragraph" w:customStyle="1" w:styleId="72">
    <w:name w:val="40% - 强调文字颜色 2"/>
    <w:basedOn w:val="1"/>
    <w:autoRedefine/>
    <w:qFormat/>
    <w:uiPriority w:val="0"/>
    <w:pPr>
      <w:shd w:val="clear" w:color="auto" w:fill="F8CBAD"/>
      <w:spacing w:before="100" w:beforeAutospacing="1" w:after="100" w:afterAutospacing="1"/>
    </w:pPr>
    <w:rPr>
      <w:color w:val="000000"/>
      <w:sz w:val="22"/>
      <w:szCs w:val="22"/>
    </w:rPr>
  </w:style>
  <w:style w:type="paragraph" w:customStyle="1" w:styleId="73">
    <w:name w:val="强调文字颜色 3"/>
    <w:basedOn w:val="1"/>
    <w:autoRedefine/>
    <w:qFormat/>
    <w:uiPriority w:val="0"/>
    <w:pPr>
      <w:shd w:val="clear" w:color="auto" w:fill="A5A5A5"/>
      <w:spacing w:before="100" w:beforeAutospacing="1" w:after="100" w:afterAutospacing="1"/>
    </w:pPr>
    <w:rPr>
      <w:color w:val="FFFFFF"/>
      <w:sz w:val="22"/>
      <w:szCs w:val="22"/>
    </w:rPr>
  </w:style>
  <w:style w:type="paragraph" w:customStyle="1" w:styleId="74">
    <w:name w:val="强调文字颜色 4"/>
    <w:basedOn w:val="1"/>
    <w:autoRedefine/>
    <w:qFormat/>
    <w:uiPriority w:val="0"/>
    <w:pPr>
      <w:shd w:val="clear" w:color="auto" w:fill="FFC000"/>
      <w:spacing w:before="100" w:beforeAutospacing="1" w:after="100" w:afterAutospacing="1"/>
    </w:pPr>
    <w:rPr>
      <w:color w:val="FFFFFF"/>
      <w:sz w:val="22"/>
      <w:szCs w:val="22"/>
    </w:rPr>
  </w:style>
  <w:style w:type="paragraph" w:customStyle="1" w:styleId="75">
    <w:name w:val="20% - 强调文字颜色 4"/>
    <w:basedOn w:val="1"/>
    <w:autoRedefine/>
    <w:qFormat/>
    <w:uiPriority w:val="0"/>
    <w:pPr>
      <w:shd w:val="clear" w:color="auto" w:fill="FFF2CC"/>
      <w:spacing w:before="100" w:beforeAutospacing="1" w:after="100" w:afterAutospacing="1"/>
    </w:pPr>
    <w:rPr>
      <w:color w:val="000000"/>
      <w:sz w:val="22"/>
      <w:szCs w:val="22"/>
    </w:rPr>
  </w:style>
  <w:style w:type="paragraph" w:customStyle="1" w:styleId="76">
    <w:name w:val="40% - 强调文字颜色 4"/>
    <w:basedOn w:val="1"/>
    <w:autoRedefine/>
    <w:qFormat/>
    <w:uiPriority w:val="0"/>
    <w:pPr>
      <w:shd w:val="clear" w:color="auto" w:fill="FFE699"/>
      <w:spacing w:before="100" w:beforeAutospacing="1" w:after="100" w:afterAutospacing="1"/>
    </w:pPr>
    <w:rPr>
      <w:color w:val="000000"/>
      <w:sz w:val="22"/>
      <w:szCs w:val="22"/>
    </w:rPr>
  </w:style>
  <w:style w:type="paragraph" w:customStyle="1" w:styleId="77">
    <w:name w:val="强调文字颜色 5"/>
    <w:basedOn w:val="1"/>
    <w:autoRedefine/>
    <w:qFormat/>
    <w:uiPriority w:val="0"/>
    <w:pPr>
      <w:shd w:val="clear" w:color="auto" w:fill="4472C4"/>
      <w:spacing w:before="100" w:beforeAutospacing="1" w:after="100" w:afterAutospacing="1"/>
    </w:pPr>
    <w:rPr>
      <w:color w:val="FFFFFF"/>
      <w:sz w:val="22"/>
      <w:szCs w:val="22"/>
    </w:rPr>
  </w:style>
  <w:style w:type="paragraph" w:customStyle="1" w:styleId="78">
    <w:name w:val="40% - 强调文字颜色 5"/>
    <w:basedOn w:val="1"/>
    <w:autoRedefine/>
    <w:qFormat/>
    <w:uiPriority w:val="0"/>
    <w:pPr>
      <w:shd w:val="clear" w:color="auto" w:fill="B4C6E7"/>
      <w:spacing w:before="100" w:beforeAutospacing="1" w:after="100" w:afterAutospacing="1"/>
    </w:pPr>
    <w:rPr>
      <w:color w:val="000000"/>
      <w:sz w:val="22"/>
      <w:szCs w:val="22"/>
    </w:rPr>
  </w:style>
  <w:style w:type="paragraph" w:customStyle="1" w:styleId="79">
    <w:name w:val="60% - 强调文字颜色 5"/>
    <w:basedOn w:val="1"/>
    <w:autoRedefine/>
    <w:qFormat/>
    <w:uiPriority w:val="0"/>
    <w:pPr>
      <w:shd w:val="clear" w:color="auto" w:fill="8EA9DB"/>
      <w:spacing w:before="100" w:beforeAutospacing="1" w:after="100" w:afterAutospacing="1"/>
    </w:pPr>
    <w:rPr>
      <w:color w:val="FFFFFF"/>
      <w:sz w:val="22"/>
      <w:szCs w:val="22"/>
    </w:rPr>
  </w:style>
  <w:style w:type="paragraph" w:customStyle="1" w:styleId="80">
    <w:name w:val="强调文字颜色 6"/>
    <w:basedOn w:val="1"/>
    <w:autoRedefine/>
    <w:qFormat/>
    <w:uiPriority w:val="0"/>
    <w:pPr>
      <w:shd w:val="clear" w:color="auto" w:fill="70AD47"/>
      <w:spacing w:before="100" w:beforeAutospacing="1" w:after="100" w:afterAutospacing="1"/>
    </w:pPr>
    <w:rPr>
      <w:color w:val="FFFFFF"/>
      <w:sz w:val="22"/>
      <w:szCs w:val="22"/>
    </w:rPr>
  </w:style>
  <w:style w:type="paragraph" w:customStyle="1" w:styleId="81">
    <w:name w:val="40% - 强调文字颜色 6"/>
    <w:basedOn w:val="1"/>
    <w:autoRedefine/>
    <w:qFormat/>
    <w:uiPriority w:val="0"/>
    <w:pPr>
      <w:shd w:val="clear" w:color="auto" w:fill="C6E0B4"/>
      <w:spacing w:before="100" w:beforeAutospacing="1" w:after="100" w:afterAutospacing="1"/>
    </w:pPr>
    <w:rPr>
      <w:color w:val="000000"/>
      <w:sz w:val="22"/>
      <w:szCs w:val="22"/>
    </w:rPr>
  </w:style>
  <w:style w:type="paragraph" w:customStyle="1" w:styleId="82">
    <w:name w:val="60% - 强调文字颜色 6"/>
    <w:basedOn w:val="1"/>
    <w:autoRedefine/>
    <w:qFormat/>
    <w:uiPriority w:val="0"/>
    <w:pPr>
      <w:shd w:val="clear" w:color="auto" w:fill="A9D08E"/>
      <w:spacing w:before="100" w:beforeAutospacing="1" w:after="100" w:afterAutospacing="1"/>
    </w:pPr>
    <w:rPr>
      <w:color w:val="FFFFFF"/>
      <w:sz w:val="22"/>
      <w:szCs w:val="22"/>
    </w:rPr>
  </w:style>
  <w:style w:type="table" w:customStyle="1" w:styleId="83">
    <w:name w:val="常规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tcPr>
      <w:noWrap/>
      <w:vAlign w:val="center"/>
    </w:tcPr>
  </w:style>
  <w:style w:type="table" w:customStyle="1" w:styleId="84">
    <w:name w:val="货币[0]1"/>
    <w:basedOn w:val="7"/>
    <w:qFormat/>
    <w:uiPriority w:val="0"/>
    <w:pPr>
      <w:spacing w:before="100" w:beforeAutospacing="1" w:after="100" w:afterAutospacing="1"/>
    </w:pPr>
    <w:tblPr>
      <w:tblCellMar>
        <w:left w:w="0" w:type="dxa"/>
        <w:right w:w="0" w:type="dxa"/>
      </w:tblCellMar>
    </w:tblPr>
  </w:style>
  <w:style w:type="table" w:customStyle="1" w:styleId="85">
    <w:name w:val="20% - 强调文字颜色 3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86">
    <w:name w:val="输入1"/>
    <w:basedOn w:val="7"/>
    <w:autoRedefine/>
    <w:qFormat/>
    <w:uiPriority w:val="0"/>
    <w:pPr>
      <w:spacing w:before="100" w:beforeAutospacing="1" w:after="100" w:afterAutospacing="1"/>
    </w:pPr>
    <w:rPr>
      <w:rFonts w:ascii="宋体" w:hAnsi="宋体" w:eastAsia="宋体"/>
      <w:color w:val="3F3F76"/>
      <w:sz w:val="22"/>
      <w:szCs w:val="22"/>
    </w:rPr>
    <w:tblPr>
      <w:tblBorders>
        <w:top w:val="single" w:color="7F7F7F" w:sz="4" w:space="0"/>
        <w:left w:val="single" w:color="7F7F7F" w:sz="4" w:space="0"/>
        <w:bottom w:val="single" w:color="7F7F7F" w:sz="4" w:space="0"/>
        <w:right w:val="single" w:color="7F7F7F" w:sz="4" w:space="0"/>
      </w:tblBorders>
      <w:tblCellMar>
        <w:left w:w="0" w:type="dxa"/>
        <w:right w:w="0" w:type="dxa"/>
      </w:tblCellMar>
    </w:tblPr>
  </w:style>
  <w:style w:type="table" w:customStyle="1" w:styleId="87">
    <w:name w:val="货币1"/>
    <w:basedOn w:val="7"/>
    <w:autoRedefine/>
    <w:qFormat/>
    <w:uiPriority w:val="0"/>
    <w:pPr>
      <w:spacing w:before="100" w:beforeAutospacing="1" w:after="100" w:afterAutospacing="1"/>
    </w:pPr>
    <w:tblPr>
      <w:tblCellMar>
        <w:left w:w="0" w:type="dxa"/>
        <w:right w:w="0" w:type="dxa"/>
      </w:tblCellMar>
    </w:tblPr>
  </w:style>
  <w:style w:type="table" w:customStyle="1" w:styleId="88">
    <w:name w:val="千位分隔[0]1"/>
    <w:basedOn w:val="7"/>
    <w:autoRedefine/>
    <w:qFormat/>
    <w:uiPriority w:val="0"/>
    <w:pPr>
      <w:spacing w:before="100" w:beforeAutospacing="1" w:after="100" w:afterAutospacing="1"/>
    </w:pPr>
    <w:tblPr>
      <w:tblCellMar>
        <w:left w:w="0" w:type="dxa"/>
        <w:right w:w="0" w:type="dxa"/>
      </w:tblCellMar>
    </w:tblPr>
  </w:style>
  <w:style w:type="table" w:customStyle="1" w:styleId="89">
    <w:name w:val="40% - 强调文字颜色 3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90">
    <w:name w:val="差1"/>
    <w:basedOn w:val="7"/>
    <w:autoRedefine/>
    <w:qFormat/>
    <w:uiPriority w:val="0"/>
    <w:pPr>
      <w:spacing w:before="100" w:beforeAutospacing="1" w:after="100" w:afterAutospacing="1"/>
    </w:pPr>
    <w:rPr>
      <w:rFonts w:ascii="宋体" w:hAnsi="宋体" w:eastAsia="宋体"/>
      <w:color w:val="9C0006"/>
      <w:sz w:val="22"/>
      <w:szCs w:val="22"/>
    </w:rPr>
    <w:tblPr>
      <w:tblCellMar>
        <w:left w:w="0" w:type="dxa"/>
        <w:right w:w="0" w:type="dxa"/>
      </w:tblCellMar>
    </w:tblPr>
  </w:style>
  <w:style w:type="table" w:customStyle="1" w:styleId="91">
    <w:name w:val="千位分隔1"/>
    <w:basedOn w:val="7"/>
    <w:autoRedefine/>
    <w:qFormat/>
    <w:uiPriority w:val="0"/>
    <w:pPr>
      <w:spacing w:before="100" w:beforeAutospacing="1" w:after="100" w:afterAutospacing="1"/>
    </w:pPr>
    <w:tblPr>
      <w:tblCellMar>
        <w:left w:w="0" w:type="dxa"/>
        <w:right w:w="0" w:type="dxa"/>
      </w:tblCellMar>
    </w:tblPr>
  </w:style>
  <w:style w:type="table" w:customStyle="1" w:styleId="92">
    <w:name w:val="60% - 强调文字颜色 3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93">
    <w:name w:val="超链接2"/>
    <w:basedOn w:val="7"/>
    <w:autoRedefine/>
    <w:qFormat/>
    <w:uiPriority w:val="0"/>
    <w:pPr>
      <w:spacing w:before="100" w:beforeAutospacing="1" w:after="100" w:afterAutospacing="1"/>
    </w:pPr>
    <w:rPr>
      <w:rFonts w:ascii="宋体" w:hAnsi="宋体" w:eastAsia="宋体"/>
      <w:color w:val="0000FF"/>
      <w:sz w:val="22"/>
      <w:szCs w:val="22"/>
      <w:u w:val="single"/>
    </w:rPr>
    <w:tblPr>
      <w:tblCellMar>
        <w:left w:w="0" w:type="dxa"/>
        <w:right w:w="0" w:type="dxa"/>
      </w:tblCellMar>
    </w:tblPr>
  </w:style>
  <w:style w:type="table" w:customStyle="1" w:styleId="94">
    <w:name w:val="百分比1"/>
    <w:basedOn w:val="7"/>
    <w:autoRedefine/>
    <w:qFormat/>
    <w:uiPriority w:val="0"/>
    <w:pPr>
      <w:spacing w:before="100" w:beforeAutospacing="1" w:after="100" w:afterAutospacing="1"/>
    </w:pPr>
    <w:tblPr>
      <w:tblCellMar>
        <w:left w:w="0" w:type="dxa"/>
        <w:right w:w="0" w:type="dxa"/>
      </w:tblCellMar>
    </w:tblPr>
  </w:style>
  <w:style w:type="table" w:customStyle="1" w:styleId="95">
    <w:name w:val="已访问的超链接1"/>
    <w:basedOn w:val="7"/>
    <w:qFormat/>
    <w:uiPriority w:val="0"/>
    <w:pPr>
      <w:spacing w:before="100" w:beforeAutospacing="1" w:after="100" w:afterAutospacing="1"/>
    </w:pPr>
    <w:rPr>
      <w:rFonts w:ascii="宋体" w:hAnsi="宋体" w:eastAsia="宋体"/>
      <w:color w:val="800080"/>
      <w:sz w:val="22"/>
      <w:szCs w:val="22"/>
      <w:u w:val="single"/>
    </w:rPr>
    <w:tblPr>
      <w:tblCellMar>
        <w:left w:w="0" w:type="dxa"/>
        <w:right w:w="0" w:type="dxa"/>
      </w:tblCellMar>
    </w:tblPr>
  </w:style>
  <w:style w:type="table" w:customStyle="1" w:styleId="96">
    <w:name w:val="注释1"/>
    <w:basedOn w:val="7"/>
    <w:autoRedefine/>
    <w:qFormat/>
    <w:uiPriority w:val="0"/>
    <w:pPr>
      <w:spacing w:before="100" w:beforeAutospacing="1" w:after="100" w:afterAutospacing="1"/>
    </w:pPr>
    <w:tblPr>
      <w:tblBorders>
        <w:top w:val="single" w:color="B2B2B2" w:sz="4" w:space="0"/>
        <w:left w:val="single" w:color="B2B2B2" w:sz="4" w:space="0"/>
        <w:bottom w:val="single" w:color="B2B2B2" w:sz="4" w:space="0"/>
        <w:right w:val="single" w:color="B2B2B2" w:sz="4" w:space="0"/>
      </w:tblBorders>
      <w:tblCellMar>
        <w:left w:w="0" w:type="dxa"/>
        <w:right w:w="0" w:type="dxa"/>
      </w:tblCellMar>
    </w:tblPr>
  </w:style>
  <w:style w:type="table" w:customStyle="1" w:styleId="97">
    <w:name w:val="60% - 强调文字颜色 2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98">
    <w:name w:val="标题 41"/>
    <w:basedOn w:val="7"/>
    <w:autoRedefine/>
    <w:qFormat/>
    <w:uiPriority w:val="0"/>
    <w:pPr>
      <w:spacing w:before="100" w:beforeAutospacing="1" w:after="100" w:afterAutospacing="1"/>
    </w:pPr>
    <w:rPr>
      <w:rFonts w:ascii="宋体" w:hAnsi="宋体" w:eastAsia="宋体"/>
      <w:b/>
      <w:bCs/>
      <w:color w:val="44546A"/>
      <w:sz w:val="22"/>
      <w:szCs w:val="22"/>
    </w:rPr>
    <w:tblPr>
      <w:tblCellMar>
        <w:left w:w="0" w:type="dxa"/>
        <w:right w:w="0" w:type="dxa"/>
      </w:tblCellMar>
    </w:tblPr>
  </w:style>
  <w:style w:type="table" w:customStyle="1" w:styleId="99">
    <w:name w:val="警告文本1"/>
    <w:basedOn w:val="7"/>
    <w:autoRedefine/>
    <w:qFormat/>
    <w:uiPriority w:val="0"/>
    <w:pPr>
      <w:spacing w:before="100" w:beforeAutospacing="1" w:after="100" w:afterAutospacing="1"/>
    </w:pPr>
    <w:rPr>
      <w:rFonts w:ascii="宋体" w:hAnsi="宋体" w:eastAsia="宋体"/>
      <w:color w:val="FF0000"/>
      <w:sz w:val="22"/>
      <w:szCs w:val="22"/>
    </w:rPr>
    <w:tblPr>
      <w:tblCellMar>
        <w:left w:w="0" w:type="dxa"/>
        <w:right w:w="0" w:type="dxa"/>
      </w:tblCellMar>
    </w:tblPr>
  </w:style>
  <w:style w:type="table" w:customStyle="1" w:styleId="100">
    <w:name w:val="标题1"/>
    <w:basedOn w:val="7"/>
    <w:autoRedefine/>
    <w:qFormat/>
    <w:uiPriority w:val="0"/>
    <w:pPr>
      <w:spacing w:before="100" w:beforeAutospacing="1" w:after="100" w:afterAutospacing="1"/>
    </w:pPr>
    <w:rPr>
      <w:rFonts w:ascii="宋体" w:hAnsi="宋体" w:eastAsia="宋体"/>
      <w:b/>
      <w:bCs/>
      <w:color w:val="44546A"/>
      <w:sz w:val="36"/>
      <w:szCs w:val="36"/>
    </w:rPr>
    <w:tblPr>
      <w:tblCellMar>
        <w:left w:w="0" w:type="dxa"/>
        <w:right w:w="0" w:type="dxa"/>
      </w:tblCellMar>
    </w:tblPr>
  </w:style>
  <w:style w:type="table" w:customStyle="1" w:styleId="101">
    <w:name w:val="解释性文本1"/>
    <w:basedOn w:val="7"/>
    <w:autoRedefine/>
    <w:qFormat/>
    <w:uiPriority w:val="0"/>
    <w:pPr>
      <w:spacing w:before="100" w:beforeAutospacing="1" w:after="100" w:afterAutospacing="1"/>
    </w:pPr>
    <w:rPr>
      <w:rFonts w:ascii="宋体" w:hAnsi="宋体" w:eastAsia="宋体"/>
      <w:i/>
      <w:iCs/>
      <w:color w:val="7F7F7F"/>
      <w:sz w:val="22"/>
      <w:szCs w:val="22"/>
    </w:rPr>
    <w:tblPr>
      <w:tblCellMar>
        <w:left w:w="0" w:type="dxa"/>
        <w:right w:w="0" w:type="dxa"/>
      </w:tblCellMar>
    </w:tblPr>
  </w:style>
  <w:style w:type="table" w:customStyle="1" w:styleId="102">
    <w:name w:val="标题 11"/>
    <w:basedOn w:val="7"/>
    <w:autoRedefine/>
    <w:qFormat/>
    <w:uiPriority w:val="0"/>
    <w:pPr>
      <w:spacing w:before="100" w:beforeAutospacing="1" w:after="100" w:afterAutospacing="1"/>
    </w:pPr>
    <w:rPr>
      <w:rFonts w:ascii="宋体" w:hAnsi="宋体" w:eastAsia="宋体"/>
      <w:b/>
      <w:bCs/>
      <w:color w:val="44546A"/>
      <w:sz w:val="30"/>
      <w:szCs w:val="30"/>
    </w:rPr>
    <w:tblPr>
      <w:tblBorders>
        <w:bottom w:val="single" w:color="5B9BD5" w:sz="8" w:space="0"/>
      </w:tblBorders>
      <w:tblCellMar>
        <w:left w:w="0" w:type="dxa"/>
        <w:right w:w="0" w:type="dxa"/>
      </w:tblCellMar>
    </w:tblPr>
  </w:style>
  <w:style w:type="table" w:customStyle="1" w:styleId="103">
    <w:name w:val="标题 21"/>
    <w:basedOn w:val="7"/>
    <w:autoRedefine/>
    <w:qFormat/>
    <w:uiPriority w:val="0"/>
    <w:pPr>
      <w:spacing w:before="100" w:beforeAutospacing="1" w:after="100" w:afterAutospacing="1"/>
    </w:pPr>
    <w:rPr>
      <w:rFonts w:ascii="宋体" w:hAnsi="宋体" w:eastAsia="宋体"/>
      <w:b/>
      <w:bCs/>
      <w:color w:val="44546A"/>
      <w:sz w:val="26"/>
      <w:szCs w:val="26"/>
    </w:rPr>
    <w:tblPr>
      <w:tblBorders>
        <w:bottom w:val="single" w:color="5B9BD5" w:sz="8" w:space="0"/>
      </w:tblBorders>
      <w:tblCellMar>
        <w:left w:w="0" w:type="dxa"/>
        <w:right w:w="0" w:type="dxa"/>
      </w:tblCellMar>
    </w:tblPr>
  </w:style>
  <w:style w:type="table" w:customStyle="1" w:styleId="104">
    <w:name w:val="60% - 强调文字颜色 1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05">
    <w:name w:val="标题 31"/>
    <w:basedOn w:val="7"/>
    <w:autoRedefine/>
    <w:qFormat/>
    <w:uiPriority w:val="0"/>
    <w:pPr>
      <w:spacing w:before="100" w:beforeAutospacing="1" w:after="100" w:afterAutospacing="1"/>
    </w:pPr>
    <w:rPr>
      <w:rFonts w:ascii="宋体" w:hAnsi="宋体" w:eastAsia="宋体"/>
      <w:b/>
      <w:bCs/>
      <w:color w:val="44546A"/>
      <w:sz w:val="22"/>
      <w:szCs w:val="22"/>
    </w:rPr>
    <w:tblPr>
      <w:tblBorders>
        <w:bottom w:val="single" w:color="ACCCEA" w:sz="8" w:space="0"/>
      </w:tblBorders>
      <w:tblCellMar>
        <w:left w:w="0" w:type="dxa"/>
        <w:right w:w="0" w:type="dxa"/>
      </w:tblCellMar>
    </w:tblPr>
  </w:style>
  <w:style w:type="table" w:customStyle="1" w:styleId="106">
    <w:name w:val="60% - 强调文字颜色 4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07">
    <w:name w:val="输出1"/>
    <w:basedOn w:val="7"/>
    <w:autoRedefine/>
    <w:qFormat/>
    <w:uiPriority w:val="0"/>
    <w:pPr>
      <w:spacing w:before="100" w:beforeAutospacing="1" w:after="100" w:afterAutospacing="1"/>
    </w:pPr>
    <w:rPr>
      <w:rFonts w:ascii="宋体" w:hAnsi="宋体" w:eastAsia="宋体"/>
      <w:b/>
      <w:bCs/>
      <w:color w:val="3F3F3F"/>
      <w:sz w:val="22"/>
      <w:szCs w:val="22"/>
    </w:rPr>
    <w:tblPr>
      <w:tblBorders>
        <w:top w:val="single" w:color="3F3F3F" w:sz="4" w:space="0"/>
        <w:left w:val="single" w:color="3F3F3F" w:sz="4" w:space="0"/>
        <w:bottom w:val="single" w:color="3F3F3F" w:sz="4" w:space="0"/>
        <w:right w:val="single" w:color="3F3F3F" w:sz="4" w:space="0"/>
      </w:tblBorders>
      <w:tblCellMar>
        <w:left w:w="0" w:type="dxa"/>
        <w:right w:w="0" w:type="dxa"/>
      </w:tblCellMar>
    </w:tblPr>
  </w:style>
  <w:style w:type="table" w:customStyle="1" w:styleId="108">
    <w:name w:val="计算1"/>
    <w:basedOn w:val="7"/>
    <w:autoRedefine/>
    <w:qFormat/>
    <w:uiPriority w:val="0"/>
    <w:pPr>
      <w:spacing w:before="100" w:beforeAutospacing="1" w:after="100" w:afterAutospacing="1"/>
    </w:pPr>
    <w:rPr>
      <w:rFonts w:ascii="宋体" w:hAnsi="宋体" w:eastAsia="宋体"/>
      <w:b/>
      <w:bCs/>
      <w:color w:val="FA7D00"/>
      <w:sz w:val="22"/>
      <w:szCs w:val="22"/>
    </w:rPr>
    <w:tblPr>
      <w:tblBorders>
        <w:top w:val="single" w:color="7F7F7F" w:sz="4" w:space="0"/>
        <w:left w:val="single" w:color="7F7F7F" w:sz="4" w:space="0"/>
        <w:bottom w:val="single" w:color="7F7F7F" w:sz="4" w:space="0"/>
        <w:right w:val="single" w:color="7F7F7F" w:sz="4" w:space="0"/>
      </w:tblBorders>
      <w:tblCellMar>
        <w:left w:w="0" w:type="dxa"/>
        <w:right w:w="0" w:type="dxa"/>
      </w:tblCellMar>
    </w:tblPr>
  </w:style>
  <w:style w:type="table" w:customStyle="1" w:styleId="109">
    <w:name w:val="检查单元格1"/>
    <w:basedOn w:val="7"/>
    <w:autoRedefine/>
    <w:qFormat/>
    <w:uiPriority w:val="0"/>
    <w:pPr>
      <w:spacing w:before="100" w:beforeAutospacing="1" w:after="100" w:afterAutospacing="1"/>
    </w:pPr>
    <w:rPr>
      <w:rFonts w:ascii="宋体" w:hAnsi="宋体" w:eastAsia="宋体"/>
      <w:b/>
      <w:bCs/>
      <w:color w:val="FFFFFF"/>
      <w:sz w:val="22"/>
      <w:szCs w:val="22"/>
    </w:rPr>
    <w:tblPr>
      <w:tblBorders>
        <w:top w:val="double" w:color="3F3F3F" w:sz="6" w:space="0"/>
        <w:left w:val="double" w:color="3F3F3F" w:sz="6" w:space="0"/>
        <w:bottom w:val="double" w:color="3F3F3F" w:sz="6" w:space="0"/>
        <w:right w:val="double" w:color="3F3F3F" w:sz="6" w:space="0"/>
      </w:tblBorders>
      <w:tblCellMar>
        <w:left w:w="0" w:type="dxa"/>
        <w:right w:w="0" w:type="dxa"/>
      </w:tblCellMar>
    </w:tblPr>
  </w:style>
  <w:style w:type="table" w:customStyle="1" w:styleId="110">
    <w:name w:val="20% - 强调文字颜色 6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1">
    <w:name w:val="强调文字颜色 2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12">
    <w:name w:val="链接单元格1"/>
    <w:basedOn w:val="7"/>
    <w:autoRedefine/>
    <w:qFormat/>
    <w:uiPriority w:val="0"/>
    <w:pPr>
      <w:spacing w:before="100" w:beforeAutospacing="1" w:after="100" w:afterAutospacing="1"/>
    </w:pPr>
    <w:rPr>
      <w:rFonts w:ascii="宋体" w:hAnsi="宋体" w:eastAsia="宋体"/>
      <w:color w:val="FA7D00"/>
      <w:sz w:val="22"/>
      <w:szCs w:val="22"/>
    </w:rPr>
    <w:tblPr>
      <w:tblBorders>
        <w:bottom w:val="double" w:color="FF8001" w:sz="6" w:space="0"/>
      </w:tblBorders>
      <w:tblCellMar>
        <w:left w:w="0" w:type="dxa"/>
        <w:right w:w="0" w:type="dxa"/>
      </w:tblCellMar>
    </w:tblPr>
  </w:style>
  <w:style w:type="table" w:customStyle="1" w:styleId="113">
    <w:name w:val="汇总1"/>
    <w:basedOn w:val="7"/>
    <w:autoRedefine/>
    <w:qFormat/>
    <w:uiPriority w:val="0"/>
    <w:pPr>
      <w:spacing w:before="100" w:beforeAutospacing="1" w:after="100" w:afterAutospacing="1"/>
    </w:pPr>
    <w:rPr>
      <w:rFonts w:ascii="宋体" w:hAnsi="宋体" w:eastAsia="宋体"/>
      <w:b/>
      <w:bCs/>
      <w:color w:val="000000"/>
      <w:sz w:val="22"/>
      <w:szCs w:val="22"/>
    </w:rPr>
    <w:tblPr>
      <w:tblBorders>
        <w:top w:val="single" w:color="5B9BD5" w:sz="4" w:space="0"/>
        <w:bottom w:val="double" w:color="5B9BD5" w:sz="6" w:space="0"/>
      </w:tblBorders>
      <w:tblCellMar>
        <w:left w:w="0" w:type="dxa"/>
        <w:right w:w="0" w:type="dxa"/>
      </w:tblCellMar>
    </w:tblPr>
  </w:style>
  <w:style w:type="table" w:customStyle="1" w:styleId="114">
    <w:name w:val="好1"/>
    <w:basedOn w:val="7"/>
    <w:autoRedefine/>
    <w:qFormat/>
    <w:uiPriority w:val="0"/>
    <w:pPr>
      <w:spacing w:before="100" w:beforeAutospacing="1" w:after="100" w:afterAutospacing="1"/>
    </w:pPr>
    <w:rPr>
      <w:rFonts w:ascii="宋体" w:hAnsi="宋体" w:eastAsia="宋体"/>
      <w:color w:val="006100"/>
      <w:sz w:val="22"/>
      <w:szCs w:val="22"/>
    </w:rPr>
    <w:tblPr>
      <w:tblCellMar>
        <w:left w:w="0" w:type="dxa"/>
        <w:right w:w="0" w:type="dxa"/>
      </w:tblCellMar>
    </w:tblPr>
  </w:style>
  <w:style w:type="table" w:customStyle="1" w:styleId="115">
    <w:name w:val="适中1"/>
    <w:basedOn w:val="7"/>
    <w:autoRedefine/>
    <w:qFormat/>
    <w:uiPriority w:val="0"/>
    <w:pPr>
      <w:spacing w:before="100" w:beforeAutospacing="1" w:after="100" w:afterAutospacing="1"/>
    </w:pPr>
    <w:rPr>
      <w:rFonts w:ascii="宋体" w:hAnsi="宋体" w:eastAsia="宋体"/>
      <w:color w:val="9C6500"/>
      <w:sz w:val="22"/>
      <w:szCs w:val="22"/>
    </w:rPr>
    <w:tblPr>
      <w:tblCellMar>
        <w:left w:w="0" w:type="dxa"/>
        <w:right w:w="0" w:type="dxa"/>
      </w:tblCellMar>
    </w:tblPr>
  </w:style>
  <w:style w:type="table" w:customStyle="1" w:styleId="116">
    <w:name w:val="20% - 强调文字颜色 5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7">
    <w:name w:val="强调文字颜色 1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18">
    <w:name w:val="20% - 强调文字颜色 1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9">
    <w:name w:val="40% - 强调文字颜色 1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0">
    <w:name w:val="20% - 强调文字颜色 2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1">
    <w:name w:val="40% - 强调文字颜色 2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2">
    <w:name w:val="强调文字颜色 3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3">
    <w:name w:val="强调文字颜色 4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4">
    <w:name w:val="20% - 强调文字颜色 4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5">
    <w:name w:val="40% - 强调文字颜色 4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6">
    <w:name w:val="强调文字颜色 5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7">
    <w:name w:val="40% - 强调文字颜色 5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8">
    <w:name w:val="60% - 强调文字颜色 5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9">
    <w:name w:val="强调文字颜色 6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30">
    <w:name w:val="40% - 强调文字颜色 6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31">
    <w:name w:val="60% - 强调文字颜色 6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paragraph" w:customStyle="1" w:styleId="132">
    <w:name w:val="style0"/>
    <w:basedOn w:val="1"/>
    <w:autoRedefine/>
    <w:qFormat/>
    <w:uiPriority w:val="0"/>
    <w:pPr>
      <w:spacing w:before="100" w:beforeAutospacing="1" w:after="100" w:afterAutospacing="1"/>
    </w:pPr>
  </w:style>
  <w:style w:type="paragraph" w:customStyle="1" w:styleId="133">
    <w:name w:val="xl79"/>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4">
    <w:name w:val="xl78"/>
    <w:basedOn w:val="132"/>
    <w:autoRedefine/>
    <w:qFormat/>
    <w:uiPriority w:val="0"/>
    <w:pPr>
      <w:pBdr>
        <w:left w:val="single" w:color="auto" w:sz="4" w:space="0"/>
        <w:bottom w:val="single" w:color="auto" w:sz="4" w:space="0"/>
        <w:right w:val="single" w:color="auto" w:sz="4" w:space="0"/>
      </w:pBdr>
      <w:jc w:val="center"/>
    </w:pPr>
  </w:style>
  <w:style w:type="paragraph" w:customStyle="1" w:styleId="135">
    <w:name w:val="xl77"/>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6">
    <w:name w:val="xl75"/>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7">
    <w:name w:val="xl74"/>
    <w:basedOn w:val="132"/>
    <w:autoRedefine/>
    <w:qFormat/>
    <w:uiPriority w:val="0"/>
    <w:pPr>
      <w:jc w:val="center"/>
    </w:pPr>
  </w:style>
  <w:style w:type="paragraph" w:customStyle="1" w:styleId="138">
    <w:name w:val="xl72"/>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9">
    <w:name w:val="xl69"/>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40">
    <w:name w:val="xl68"/>
    <w:basedOn w:val="132"/>
    <w:autoRedefine/>
    <w:qFormat/>
    <w:uiPriority w:val="0"/>
    <w:pPr>
      <w:pBdr>
        <w:top w:val="single" w:color="auto" w:sz="4" w:space="0"/>
        <w:left w:val="single" w:color="auto" w:sz="4" w:space="0"/>
        <w:bottom w:val="single" w:color="auto" w:sz="4" w:space="0"/>
        <w:right w:val="single" w:color="auto" w:sz="4" w:space="0"/>
      </w:pBdr>
      <w:jc w:val="center"/>
    </w:pPr>
    <w:rPr>
      <w:b/>
      <w:bCs/>
    </w:rPr>
  </w:style>
  <w:style w:type="paragraph" w:customStyle="1" w:styleId="141">
    <w:name w:val="xl67"/>
    <w:basedOn w:val="132"/>
    <w:autoRedefine/>
    <w:qFormat/>
    <w:uiPriority w:val="0"/>
    <w:pPr>
      <w:pBdr>
        <w:top w:val="single" w:color="auto" w:sz="4" w:space="0"/>
        <w:left w:val="single" w:color="auto" w:sz="4" w:space="0"/>
        <w:bottom w:val="single" w:color="auto" w:sz="4" w:space="0"/>
        <w:right w:val="single" w:color="auto" w:sz="4" w:space="0"/>
      </w:pBdr>
      <w:jc w:val="center"/>
    </w:pPr>
    <w:rPr>
      <w:b/>
      <w:bCs/>
    </w:rPr>
  </w:style>
  <w:style w:type="paragraph" w:customStyle="1" w:styleId="142">
    <w:name w:val="xl66"/>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43">
    <w:name w:val="xl65"/>
    <w:basedOn w:val="132"/>
    <w:autoRedefine/>
    <w:qFormat/>
    <w:uiPriority w:val="0"/>
  </w:style>
  <w:style w:type="paragraph" w:customStyle="1" w:styleId="144">
    <w:name w:val="style25"/>
    <w:basedOn w:val="1"/>
    <w:autoRedefine/>
    <w:qFormat/>
    <w:uiPriority w:val="0"/>
    <w:pPr>
      <w:spacing w:before="100" w:beforeAutospacing="1" w:after="100" w:afterAutospacing="1"/>
    </w:pPr>
  </w:style>
  <w:style w:type="paragraph" w:customStyle="1" w:styleId="145">
    <w:name w:val="xl76"/>
    <w:basedOn w:val="144"/>
    <w:qFormat/>
    <w:uiPriority w:val="0"/>
    <w:pPr>
      <w:pBdr>
        <w:left w:val="single" w:color="auto" w:sz="4" w:space="0"/>
        <w:bottom w:val="single" w:color="auto" w:sz="4" w:space="0"/>
        <w:right w:val="single" w:color="auto" w:sz="4" w:space="0"/>
      </w:pBdr>
      <w:jc w:val="center"/>
    </w:pPr>
    <w:rPr>
      <w:color w:val="0000FF"/>
      <w:u w:val="single"/>
    </w:rPr>
  </w:style>
  <w:style w:type="paragraph" w:customStyle="1" w:styleId="146">
    <w:name w:val="xl73"/>
    <w:basedOn w:val="144"/>
    <w:autoRedefine/>
    <w:qFormat/>
    <w:uiPriority w:val="0"/>
    <w:pPr>
      <w:pBdr>
        <w:top w:val="single" w:color="auto" w:sz="4" w:space="0"/>
        <w:left w:val="single" w:color="auto" w:sz="4" w:space="0"/>
        <w:bottom w:val="single" w:color="auto" w:sz="4" w:space="0"/>
        <w:right w:val="single" w:color="auto" w:sz="4" w:space="0"/>
      </w:pBdr>
      <w:jc w:val="center"/>
    </w:pPr>
    <w:rPr>
      <w:color w:val="0000FF"/>
      <w:u w:val="single"/>
    </w:rPr>
  </w:style>
  <w:style w:type="paragraph" w:customStyle="1" w:styleId="147">
    <w:name w:val="xl71"/>
    <w:basedOn w:val="144"/>
    <w:qFormat/>
    <w:uiPriority w:val="0"/>
    <w:pPr>
      <w:pBdr>
        <w:top w:val="single" w:color="auto" w:sz="4" w:space="0"/>
        <w:left w:val="single" w:color="auto" w:sz="4" w:space="0"/>
        <w:bottom w:val="single" w:color="auto" w:sz="4" w:space="0"/>
        <w:right w:val="single" w:color="auto" w:sz="4" w:space="0"/>
      </w:pBdr>
      <w:jc w:val="center"/>
    </w:pPr>
    <w:rPr>
      <w:color w:val="0000FF"/>
      <w:u w:val="single"/>
    </w:rPr>
  </w:style>
  <w:style w:type="paragraph" w:customStyle="1" w:styleId="148">
    <w:name w:val="xl70"/>
    <w:basedOn w:val="144"/>
    <w:autoRedefine/>
    <w:qFormat/>
    <w:uiPriority w:val="0"/>
    <w:pPr>
      <w:pBdr>
        <w:top w:val="single" w:color="auto" w:sz="4" w:space="0"/>
        <w:left w:val="single" w:color="auto" w:sz="4" w:space="0"/>
        <w:bottom w:val="single" w:color="auto" w:sz="4" w:space="0"/>
        <w:right w:val="single" w:color="auto" w:sz="4" w:space="0"/>
      </w:pBdr>
      <w:jc w:val="center"/>
    </w:pPr>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411</Words>
  <Characters>1417</Characters>
  <Lines>22</Lines>
  <Paragraphs>6</Paragraphs>
  <TotalTime>0</TotalTime>
  <ScaleCrop>false</ScaleCrop>
  <LinksUpToDate>false</LinksUpToDate>
  <CharactersWithSpaces>1419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2023-05-26T07:48:00Z</dcterms:created>
  <dc:creator>18429</dc:creator>
  <cp:lastModifiedBy>WPS_1648688473</cp:lastModifiedBy>
  <dcterms:modified xsi:type="dcterms:W3CDTF">2025-03-25T08:16:50Z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0D536916BC84460AB12585878871E83D_13</vt:lpwstr>
  </property>
  <property fmtid="{D5CDD505-2E9C-101B-9397-08002B2CF9AE}" pid="3" name="KSOProductBuildVer">
    <vt:lpwstr>2052-12.1.0.20305</vt:lpwstr>
  </property>
  <property fmtid="{D5CDD505-2E9C-101B-9397-08002B2CF9AE}" pid="4" name="_DocHome">
    <vt:i4>898429260</vt:i4>
  </property>
  <property fmtid="{D5CDD505-2E9C-101B-9397-08002B2CF9AE}" pid="5" name="KSOTemplateDocerSaveRecord">
    <vt:lpwstr>eyJoZGlkIjoiMjJhNzdkZDY5ZjM1MDg1NmMwM2RiM2MzM2NjODI5OTgiLCJ1c2VySWQiOiIxMzUxNTU2NzE3In0=</vt:lpwstr>
  </property>
</Properties>
</file>